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F65871D">
      <w:pPr>
        <w:wordWrap w:val="0"/>
        <w:adjustRightInd w:val="0"/>
        <w:snapToGrid w:val="0"/>
        <w:spacing w:line="540" w:lineRule="exact"/>
        <w:jc w:val="center"/>
        <w:rPr>
          <w:rFonts w:ascii="方正小标宋简体" w:hAnsi="华文中宋" w:eastAsia="方正小标宋简体"/>
          <w:spacing w:val="60"/>
          <w:sz w:val="52"/>
          <w:szCs w:val="52"/>
        </w:rPr>
      </w:pPr>
    </w:p>
    <w:p w14:paraId="37410AE1">
      <w:pPr>
        <w:pStyle w:val="7"/>
        <w:ind w:firstLine="1280"/>
        <w:rPr>
          <w:rFonts w:ascii="方正小标宋简体" w:hAnsi="华文中宋" w:eastAsia="方正小标宋简体"/>
          <w:spacing w:val="60"/>
          <w:sz w:val="52"/>
          <w:szCs w:val="52"/>
        </w:rPr>
      </w:pPr>
    </w:p>
    <w:p w14:paraId="25B2881E">
      <w:pPr>
        <w:pStyle w:val="7"/>
        <w:ind w:firstLine="1280"/>
        <w:rPr>
          <w:rFonts w:ascii="方正小标宋简体" w:hAnsi="华文中宋" w:eastAsia="方正小标宋简体"/>
          <w:spacing w:val="60"/>
          <w:sz w:val="52"/>
          <w:szCs w:val="52"/>
        </w:rPr>
      </w:pPr>
    </w:p>
    <w:p w14:paraId="0C0F2544">
      <w:pPr>
        <w:pStyle w:val="7"/>
        <w:ind w:firstLine="1280"/>
        <w:rPr>
          <w:rFonts w:ascii="方正小标宋简体" w:hAnsi="华文中宋" w:eastAsia="方正小标宋简体"/>
          <w:spacing w:val="60"/>
          <w:sz w:val="52"/>
          <w:szCs w:val="52"/>
        </w:rPr>
      </w:pPr>
    </w:p>
    <w:p w14:paraId="6C3C00AF">
      <w:pPr>
        <w:wordWrap w:val="0"/>
        <w:adjustRightInd w:val="0"/>
        <w:snapToGrid w:val="0"/>
        <w:spacing w:line="540" w:lineRule="exact"/>
        <w:jc w:val="center"/>
        <w:rPr>
          <w:rFonts w:ascii="方正小标宋简体" w:hAnsi="华文中宋" w:eastAsia="方正小标宋简体"/>
          <w:spacing w:val="60"/>
          <w:sz w:val="52"/>
          <w:szCs w:val="52"/>
        </w:rPr>
      </w:pPr>
    </w:p>
    <w:p w14:paraId="2A423D0B">
      <w:pPr>
        <w:wordWrap w:val="0"/>
        <w:adjustRightInd w:val="0"/>
        <w:snapToGrid w:val="0"/>
        <w:spacing w:line="540" w:lineRule="exact"/>
        <w:jc w:val="center"/>
        <w:rPr>
          <w:rFonts w:ascii="方正小标宋简体" w:hAnsi="华文中宋" w:eastAsia="方正小标宋简体"/>
          <w:spacing w:val="60"/>
          <w:sz w:val="52"/>
          <w:szCs w:val="52"/>
        </w:rPr>
      </w:pPr>
      <w:r>
        <w:rPr>
          <w:rFonts w:hint="eastAsia" w:ascii="方正小标宋简体" w:hAnsi="华文中宋" w:eastAsia="方正小标宋简体"/>
          <w:spacing w:val="60"/>
          <w:sz w:val="52"/>
          <w:szCs w:val="52"/>
        </w:rPr>
        <w:t>产权交易合同</w:t>
      </w:r>
    </w:p>
    <w:p w14:paraId="4456B9C4">
      <w:pPr>
        <w:wordWrap w:val="0"/>
        <w:adjustRightInd w:val="0"/>
        <w:snapToGrid w:val="0"/>
        <w:spacing w:line="540" w:lineRule="exact"/>
        <w:jc w:val="center"/>
        <w:rPr>
          <w:rFonts w:ascii="方正小标宋简体" w:hAnsi="华文中宋" w:eastAsia="方正小标宋简体"/>
          <w:spacing w:val="60"/>
          <w:sz w:val="52"/>
          <w:szCs w:val="52"/>
        </w:rPr>
      </w:pPr>
    </w:p>
    <w:p w14:paraId="63EBBC5B">
      <w:pPr>
        <w:wordWrap w:val="0"/>
        <w:adjustRightInd w:val="0"/>
        <w:snapToGrid w:val="0"/>
        <w:spacing w:line="540" w:lineRule="exact"/>
        <w:jc w:val="center"/>
        <w:rPr>
          <w:rFonts w:ascii="方正小标宋简体" w:hAnsi="华文中宋" w:eastAsia="方正小标宋简体"/>
          <w:spacing w:val="60"/>
          <w:sz w:val="52"/>
          <w:szCs w:val="52"/>
        </w:rPr>
      </w:pPr>
      <w:r>
        <w:rPr>
          <w:rFonts w:hint="eastAsia" w:ascii="方正小标宋简体" w:hAnsi="华文中宋" w:eastAsia="方正小标宋简体"/>
          <w:spacing w:val="60"/>
          <w:sz w:val="52"/>
          <w:szCs w:val="52"/>
        </w:rPr>
        <w:t>（机动车类2022版）</w:t>
      </w:r>
    </w:p>
    <w:p w14:paraId="7B33915E">
      <w:pPr>
        <w:wordWrap w:val="0"/>
        <w:adjustRightInd w:val="0"/>
        <w:snapToGrid w:val="0"/>
        <w:spacing w:line="540" w:lineRule="exact"/>
        <w:jc w:val="center"/>
        <w:rPr>
          <w:rFonts w:ascii="方正小标宋简体" w:hAnsi="华文中宋" w:eastAsia="方正小标宋简体"/>
          <w:spacing w:val="60"/>
          <w:sz w:val="52"/>
          <w:szCs w:val="52"/>
        </w:rPr>
      </w:pPr>
    </w:p>
    <w:p w14:paraId="4CA9D7E7">
      <w:pPr>
        <w:wordWrap w:val="0"/>
        <w:adjustRightInd w:val="0"/>
        <w:snapToGrid w:val="0"/>
        <w:spacing w:line="540" w:lineRule="exact"/>
        <w:jc w:val="center"/>
        <w:rPr>
          <w:rFonts w:ascii="方正小标宋简体" w:hAnsi="华文中宋" w:eastAsia="方正小标宋简体"/>
          <w:spacing w:val="60"/>
          <w:sz w:val="52"/>
          <w:szCs w:val="52"/>
        </w:rPr>
      </w:pPr>
    </w:p>
    <w:p w14:paraId="44F5E736">
      <w:pPr>
        <w:wordWrap w:val="0"/>
        <w:adjustRightInd w:val="0"/>
        <w:snapToGrid w:val="0"/>
        <w:spacing w:line="540" w:lineRule="exact"/>
        <w:jc w:val="center"/>
        <w:rPr>
          <w:rFonts w:ascii="方正小标宋简体" w:hAnsi="华文中宋" w:eastAsia="方正小标宋简体"/>
          <w:spacing w:val="60"/>
          <w:sz w:val="52"/>
          <w:szCs w:val="52"/>
        </w:rPr>
      </w:pPr>
    </w:p>
    <w:p w14:paraId="2991747C">
      <w:pPr>
        <w:wordWrap w:val="0"/>
        <w:adjustRightInd w:val="0"/>
        <w:snapToGrid w:val="0"/>
        <w:spacing w:line="540" w:lineRule="exact"/>
        <w:jc w:val="center"/>
        <w:rPr>
          <w:rFonts w:ascii="方正小标宋简体" w:hAnsi="华文中宋" w:eastAsia="方正小标宋简体"/>
          <w:spacing w:val="60"/>
          <w:sz w:val="52"/>
          <w:szCs w:val="52"/>
        </w:rPr>
      </w:pPr>
    </w:p>
    <w:p w14:paraId="4F1B322F">
      <w:pPr>
        <w:wordWrap w:val="0"/>
        <w:adjustRightInd w:val="0"/>
        <w:snapToGrid w:val="0"/>
        <w:spacing w:line="540" w:lineRule="exact"/>
        <w:rPr>
          <w:rFonts w:ascii="仿宋_GB2312" w:hAnsi="Times New Roman" w:eastAsia="仿宋_GB2312"/>
          <w:sz w:val="32"/>
          <w:szCs w:val="30"/>
        </w:rPr>
      </w:pPr>
    </w:p>
    <w:p w14:paraId="62FD9EB7">
      <w:pPr>
        <w:wordWrap w:val="0"/>
        <w:adjustRightInd w:val="0"/>
        <w:snapToGrid w:val="0"/>
        <w:spacing w:line="540" w:lineRule="exact"/>
        <w:rPr>
          <w:rFonts w:ascii="仿宋_GB2312" w:hAnsi="Times New Roman" w:eastAsia="仿宋_GB2312"/>
          <w:sz w:val="32"/>
          <w:szCs w:val="30"/>
        </w:rPr>
      </w:pPr>
    </w:p>
    <w:p w14:paraId="252BF2D7">
      <w:pPr>
        <w:wordWrap w:val="0"/>
        <w:adjustRightInd w:val="0"/>
        <w:snapToGrid w:val="0"/>
        <w:spacing w:line="540" w:lineRule="exact"/>
        <w:rPr>
          <w:rFonts w:ascii="仿宋_GB2312" w:hAnsi="Times New Roman" w:eastAsia="仿宋_GB2312"/>
          <w:sz w:val="32"/>
          <w:szCs w:val="30"/>
        </w:rPr>
      </w:pPr>
    </w:p>
    <w:p w14:paraId="3CEDE8AD">
      <w:pPr>
        <w:wordWrap w:val="0"/>
        <w:adjustRightInd w:val="0"/>
        <w:snapToGrid w:val="0"/>
        <w:spacing w:line="540" w:lineRule="exact"/>
        <w:rPr>
          <w:rFonts w:ascii="仿宋_GB2312" w:hAnsi="Times New Roman" w:eastAsia="仿宋_GB2312"/>
          <w:sz w:val="32"/>
          <w:szCs w:val="30"/>
        </w:rPr>
      </w:pPr>
    </w:p>
    <w:p w14:paraId="17B59AB0"/>
    <w:p w14:paraId="52C22D93"/>
    <w:p w14:paraId="3C9A9B10"/>
    <w:p w14:paraId="025BE9AE"/>
    <w:p w14:paraId="5CCE0FE4">
      <w:pPr>
        <w:adjustRightInd w:val="0"/>
        <w:snapToGrid w:val="0"/>
        <w:spacing w:line="540" w:lineRule="exact"/>
        <w:ind w:firstLine="2249" w:firstLineChars="700"/>
        <w:rPr>
          <w:rFonts w:ascii="仿宋_GB2312" w:hAnsi="华文中宋" w:eastAsia="仿宋_GB2312"/>
          <w:b/>
          <w:sz w:val="32"/>
          <w:szCs w:val="32"/>
        </w:rPr>
      </w:pPr>
      <w:r>
        <w:rPr>
          <w:rFonts w:hint="eastAsia" w:ascii="仿宋_GB2312" w:hAnsi="华文中宋" w:eastAsia="仿宋_GB2312"/>
          <w:b/>
          <w:sz w:val="32"/>
          <w:szCs w:val="32"/>
        </w:rPr>
        <w:t>长沙联合产权交易所有限公司   制</w:t>
      </w:r>
    </w:p>
    <w:p w14:paraId="08B24631"/>
    <w:p w14:paraId="23C18F66"/>
    <w:p w14:paraId="145D1603"/>
    <w:p w14:paraId="4DF2BE4E"/>
    <w:p w14:paraId="43F0280A"/>
    <w:p w14:paraId="2B028CAF"/>
    <w:p w14:paraId="29D3007B">
      <w:pPr>
        <w:jc w:val="center"/>
        <w:rPr>
          <w:rFonts w:ascii="方正小标宋_GBK" w:hAnsi="方正小标宋_GBK" w:eastAsia="方正小标宋_GBK" w:cs="方正小标宋_GBK"/>
          <w:sz w:val="32"/>
          <w:szCs w:val="32"/>
        </w:rPr>
      </w:pPr>
      <w:r>
        <w:rPr>
          <w:rFonts w:hint="eastAsia" w:ascii="方正小标宋_GBK" w:hAnsi="方正小标宋_GBK" w:eastAsia="方正小标宋_GBK" w:cs="方正小标宋_GBK"/>
          <w:sz w:val="32"/>
          <w:szCs w:val="32"/>
        </w:rPr>
        <w:t>使用说明</w:t>
      </w:r>
    </w:p>
    <w:p w14:paraId="2842DCC0">
      <w:pPr>
        <w:wordWrap w:val="0"/>
        <w:adjustRightInd w:val="0"/>
        <w:snapToGrid w:val="0"/>
        <w:spacing w:line="400" w:lineRule="exact"/>
        <w:ind w:firstLine="560" w:firstLineChars="200"/>
        <w:rPr>
          <w:rFonts w:ascii="仿宋_GB2312" w:eastAsia="仿宋_GB2312"/>
          <w:sz w:val="28"/>
          <w:szCs w:val="28"/>
        </w:rPr>
      </w:pPr>
    </w:p>
    <w:p w14:paraId="4B8466CE">
      <w:pPr>
        <w:wordWrap w:val="0"/>
        <w:adjustRightInd w:val="0"/>
        <w:snapToGrid w:val="0"/>
        <w:spacing w:line="400" w:lineRule="exact"/>
        <w:ind w:firstLine="560" w:firstLineChars="200"/>
        <w:rPr>
          <w:rFonts w:ascii="仿宋_GB2312" w:eastAsia="仿宋_GB2312"/>
          <w:sz w:val="28"/>
          <w:szCs w:val="28"/>
        </w:rPr>
      </w:pPr>
      <w:r>
        <w:rPr>
          <w:rFonts w:hint="eastAsia" w:ascii="仿宋_GB2312" w:eastAsia="仿宋_GB2312"/>
          <w:sz w:val="28"/>
          <w:szCs w:val="28"/>
        </w:rPr>
        <w:t>当事人使用本示范文本前应认真阅读、同意并遵守以下条款：</w:t>
      </w:r>
    </w:p>
    <w:p w14:paraId="5AC24B0C">
      <w:pPr>
        <w:wordWrap w:val="0"/>
        <w:adjustRightInd w:val="0"/>
        <w:snapToGrid w:val="0"/>
        <w:spacing w:line="400" w:lineRule="exact"/>
        <w:ind w:firstLine="560" w:firstLineChars="200"/>
        <w:rPr>
          <w:rFonts w:ascii="仿宋_GB2312" w:eastAsia="仿宋_GB2312"/>
          <w:sz w:val="28"/>
          <w:szCs w:val="28"/>
        </w:rPr>
      </w:pPr>
      <w:r>
        <w:rPr>
          <w:rFonts w:hint="eastAsia" w:ascii="仿宋_GB2312" w:eastAsia="仿宋_GB2312"/>
          <w:sz w:val="28"/>
          <w:szCs w:val="28"/>
        </w:rPr>
        <w:t>一、本合同文本是根据《中华人民共和国民法典》、《中华人民共和国企业国有资产法》等有关法律法规的规定制定的示范文本，供当事人约定采用。签订合同前，请仔细阅读。</w:t>
      </w:r>
    </w:p>
    <w:p w14:paraId="37104C55">
      <w:pPr>
        <w:wordWrap w:val="0"/>
        <w:adjustRightInd w:val="0"/>
        <w:snapToGrid w:val="0"/>
        <w:spacing w:line="400" w:lineRule="exact"/>
        <w:ind w:firstLine="560" w:firstLineChars="200"/>
        <w:rPr>
          <w:rFonts w:ascii="仿宋_GB2312" w:eastAsia="仿宋_GB2312"/>
          <w:sz w:val="28"/>
          <w:szCs w:val="28"/>
        </w:rPr>
      </w:pPr>
      <w:r>
        <w:rPr>
          <w:rFonts w:hint="eastAsia" w:ascii="仿宋_GB2312" w:eastAsia="仿宋_GB2312"/>
          <w:sz w:val="28"/>
          <w:szCs w:val="28"/>
        </w:rPr>
        <w:t>二、为更好地维护自身权益，当事人在订立本合同时应当慎重，条款内容的表述力求具体、严密。无需约定的条款可以“本合同不涉及此条款”或“本合同对此条款无须约定”等加以载明。</w:t>
      </w:r>
    </w:p>
    <w:p w14:paraId="77BD6B9C">
      <w:pPr>
        <w:wordWrap w:val="0"/>
        <w:adjustRightInd w:val="0"/>
        <w:snapToGrid w:val="0"/>
        <w:spacing w:line="400" w:lineRule="exact"/>
        <w:ind w:firstLine="560" w:firstLineChars="200"/>
        <w:rPr>
          <w:rFonts w:ascii="仿宋_GB2312" w:eastAsia="仿宋_GB2312"/>
          <w:sz w:val="28"/>
          <w:szCs w:val="28"/>
        </w:rPr>
      </w:pPr>
      <w:r>
        <w:rPr>
          <w:rFonts w:hint="eastAsia" w:ascii="仿宋_GB2312" w:eastAsia="仿宋_GB2312"/>
          <w:sz w:val="28"/>
          <w:szCs w:val="28"/>
        </w:rPr>
        <w:t>三、“转让方”是指持有标的产权并能够依法转让产权的法人、自然人和其他组织。</w:t>
      </w:r>
    </w:p>
    <w:p w14:paraId="762C7844">
      <w:pPr>
        <w:wordWrap w:val="0"/>
        <w:adjustRightInd w:val="0"/>
        <w:snapToGrid w:val="0"/>
        <w:spacing w:line="400" w:lineRule="exact"/>
        <w:ind w:firstLine="560" w:firstLineChars="200"/>
        <w:rPr>
          <w:rFonts w:ascii="仿宋_GB2312" w:eastAsia="仿宋_GB2312"/>
          <w:sz w:val="28"/>
          <w:szCs w:val="28"/>
        </w:rPr>
      </w:pPr>
      <w:r>
        <w:rPr>
          <w:rFonts w:hint="eastAsia" w:ascii="仿宋_GB2312" w:eastAsia="仿宋_GB2312"/>
          <w:sz w:val="28"/>
          <w:szCs w:val="28"/>
        </w:rPr>
        <w:t>四、“受让方”是指在产权交易市场内，通过合法程序并支付交易对价获得标的产权的法人、自然人和其他组织。</w:t>
      </w:r>
    </w:p>
    <w:p w14:paraId="1BC95412">
      <w:pPr>
        <w:wordWrap w:val="0"/>
        <w:adjustRightInd w:val="0"/>
        <w:snapToGrid w:val="0"/>
        <w:spacing w:line="400" w:lineRule="exact"/>
        <w:ind w:firstLine="560" w:firstLineChars="200"/>
        <w:rPr>
          <w:rFonts w:ascii="仿宋_GB2312" w:eastAsia="仿宋_GB2312"/>
          <w:sz w:val="28"/>
          <w:szCs w:val="28"/>
        </w:rPr>
      </w:pPr>
      <w:r>
        <w:rPr>
          <w:rFonts w:hint="eastAsia" w:ascii="仿宋_GB2312" w:eastAsia="仿宋_GB2312"/>
          <w:sz w:val="28"/>
          <w:szCs w:val="28"/>
        </w:rPr>
        <w:t>五、“产权交易标的”是指转让方所有或者依法有处分权的产权，也是本合同当事人权利和义务共同指向的对象。“产权交易标的”条款必须清楚地写明标的名称，以使标的特定化，从而能够界定权利义务。</w:t>
      </w:r>
    </w:p>
    <w:p w14:paraId="0A8BDEE4">
      <w:pPr>
        <w:wordWrap w:val="0"/>
        <w:adjustRightInd w:val="0"/>
        <w:snapToGrid w:val="0"/>
        <w:spacing w:line="400" w:lineRule="exact"/>
        <w:ind w:firstLine="560" w:firstLineChars="200"/>
        <w:rPr>
          <w:rFonts w:ascii="仿宋_GB2312" w:eastAsia="仿宋_GB2312"/>
          <w:sz w:val="28"/>
          <w:szCs w:val="28"/>
        </w:rPr>
      </w:pPr>
      <w:r>
        <w:rPr>
          <w:rFonts w:hint="eastAsia" w:ascii="仿宋_GB2312" w:eastAsia="仿宋_GB2312"/>
          <w:sz w:val="28"/>
          <w:szCs w:val="28"/>
        </w:rPr>
        <w:t>六、确定企业国有产权转让价格，应当以经核准或备案的资产评估结果作为参考依据。</w:t>
      </w:r>
    </w:p>
    <w:p w14:paraId="41BD847D">
      <w:pPr>
        <w:wordWrap w:val="0"/>
        <w:adjustRightInd w:val="0"/>
        <w:snapToGrid w:val="0"/>
        <w:spacing w:line="400" w:lineRule="exact"/>
        <w:ind w:firstLine="548" w:firstLineChars="200"/>
        <w:rPr>
          <w:rFonts w:ascii="仿宋_GB2312" w:eastAsia="仿宋_GB2312"/>
          <w:w w:val="98"/>
          <w:sz w:val="28"/>
          <w:szCs w:val="28"/>
        </w:rPr>
      </w:pPr>
      <w:r>
        <w:rPr>
          <w:rFonts w:hint="eastAsia" w:ascii="仿宋_GB2312" w:eastAsia="仿宋_GB2312"/>
          <w:w w:val="98"/>
          <w:sz w:val="28"/>
          <w:szCs w:val="28"/>
        </w:rPr>
        <w:t>七、“产权交易的基准日”是指确定产权交易标的交易价格的特定时点。</w:t>
      </w:r>
    </w:p>
    <w:p w14:paraId="57612BD3">
      <w:pPr>
        <w:wordWrap w:val="0"/>
        <w:adjustRightInd w:val="0"/>
        <w:snapToGrid w:val="0"/>
        <w:spacing w:line="400" w:lineRule="exact"/>
        <w:ind w:firstLine="560" w:firstLineChars="200"/>
        <w:rPr>
          <w:rFonts w:ascii="仿宋_GB2312" w:eastAsia="仿宋_GB2312"/>
          <w:sz w:val="28"/>
          <w:szCs w:val="28"/>
        </w:rPr>
      </w:pPr>
      <w:r>
        <w:rPr>
          <w:rFonts w:hint="eastAsia" w:ascii="仿宋_GB2312" w:eastAsia="仿宋_GB2312"/>
          <w:sz w:val="28"/>
          <w:szCs w:val="28"/>
        </w:rPr>
        <w:t>八、“产权交易凭证”是指产权交易机构为产权交易各方出具的证明产权交易标的通过产权交易机构履行相关程序后达成交易结果的凭证。</w:t>
      </w:r>
    </w:p>
    <w:p w14:paraId="7ACF3255">
      <w:pPr>
        <w:wordWrap w:val="0"/>
        <w:adjustRightInd w:val="0"/>
        <w:snapToGrid w:val="0"/>
        <w:spacing w:line="400" w:lineRule="exact"/>
        <w:ind w:firstLine="560" w:firstLineChars="200"/>
        <w:rPr>
          <w:rFonts w:ascii="仿宋_GB2312" w:eastAsia="仿宋_GB2312"/>
          <w:sz w:val="28"/>
          <w:szCs w:val="28"/>
        </w:rPr>
      </w:pPr>
      <w:r>
        <w:rPr>
          <w:rFonts w:hint="eastAsia" w:ascii="仿宋_GB2312" w:eastAsia="仿宋_GB2312"/>
          <w:sz w:val="28"/>
          <w:szCs w:val="28"/>
        </w:rPr>
        <w:t>九、涉及国有产权交易的，合同当事人应当按照国有产权转让的有关规定，对相关的合同条款进行约定。</w:t>
      </w:r>
    </w:p>
    <w:p w14:paraId="6D078915">
      <w:pPr>
        <w:wordWrap w:val="0"/>
        <w:adjustRightInd w:val="0"/>
        <w:snapToGrid w:val="0"/>
        <w:spacing w:line="400" w:lineRule="exact"/>
        <w:ind w:firstLine="560" w:firstLineChars="200"/>
        <w:rPr>
          <w:rFonts w:ascii="仿宋_GB2312" w:eastAsia="仿宋_GB2312"/>
          <w:sz w:val="28"/>
          <w:szCs w:val="28"/>
        </w:rPr>
      </w:pPr>
      <w:r>
        <w:rPr>
          <w:rFonts w:hint="eastAsia" w:ascii="仿宋_GB2312" w:eastAsia="仿宋_GB2312"/>
          <w:sz w:val="28"/>
          <w:szCs w:val="28"/>
        </w:rPr>
        <w:t>十、本合同文本涉及的相关材料应作为本合同附件列明。</w:t>
      </w:r>
    </w:p>
    <w:p w14:paraId="11B35767">
      <w:pPr>
        <w:wordWrap w:val="0"/>
        <w:adjustRightInd w:val="0"/>
        <w:snapToGrid w:val="0"/>
        <w:spacing w:line="400" w:lineRule="exact"/>
        <w:ind w:firstLine="560" w:firstLineChars="200"/>
        <w:rPr>
          <w:rFonts w:ascii="仿宋_GB2312" w:eastAsia="仿宋_GB2312"/>
          <w:sz w:val="28"/>
          <w:szCs w:val="28"/>
        </w:rPr>
      </w:pPr>
      <w:r>
        <w:rPr>
          <w:rFonts w:hint="eastAsia" w:ascii="仿宋_GB2312" w:eastAsia="仿宋_GB2312"/>
          <w:sz w:val="28"/>
          <w:szCs w:val="28"/>
        </w:rPr>
        <w:t>十一、“产权交易费用”包含：转让方、受让方向产权交易机构支付的交易手续费以及办理相关权证的费用等。</w:t>
      </w:r>
    </w:p>
    <w:p w14:paraId="23C6333B">
      <w:pPr>
        <w:wordWrap w:val="0"/>
        <w:adjustRightInd w:val="0"/>
        <w:snapToGrid w:val="0"/>
        <w:spacing w:line="400" w:lineRule="exact"/>
        <w:ind w:firstLine="560" w:firstLineChars="200"/>
        <w:rPr>
          <w:rFonts w:ascii="仿宋_GB2312" w:eastAsia="仿宋_GB2312"/>
          <w:sz w:val="28"/>
          <w:szCs w:val="28"/>
        </w:rPr>
      </w:pPr>
      <w:r>
        <w:rPr>
          <w:rFonts w:hint="eastAsia" w:ascii="仿宋_GB2312" w:eastAsia="仿宋_GB2312"/>
          <w:sz w:val="28"/>
          <w:szCs w:val="28"/>
        </w:rPr>
        <w:t>十二、长沙联合产权交易所有限公司（以下简称为“长沙联交所”）郑重声明：本合同范本仅供在本联交所进行产权交易的双方当事人根据其实际情况选择使用。本联交所不承担因制作并提供本合同范本而被要求承担任何保证义务，包括但不限于保证本合同范本条款内容完备、保证交易双方签约目的的真实、保证交易双方的签约主体资格、保证交易双方为签订本合同而做出的声明及承诺以及提供的文件资料真实准确等一切保证责任。</w:t>
      </w:r>
    </w:p>
    <w:p w14:paraId="34495418">
      <w:pPr>
        <w:tabs>
          <w:tab w:val="left" w:pos="790"/>
        </w:tabs>
        <w:wordWrap w:val="0"/>
        <w:adjustRightInd w:val="0"/>
        <w:snapToGrid w:val="0"/>
        <w:spacing w:line="520" w:lineRule="exact"/>
        <w:jc w:val="center"/>
        <w:rPr>
          <w:rFonts w:ascii="方正小标宋_GBK" w:hAnsi="方正小标宋_GBK" w:eastAsia="方正小标宋_GBK" w:cs="方正小标宋_GBK"/>
          <w:sz w:val="44"/>
        </w:rPr>
      </w:pPr>
      <w:r>
        <w:rPr>
          <w:rFonts w:hint="eastAsia" w:ascii="方正小标宋_GBK" w:hAnsi="方正小标宋_GBK" w:eastAsia="方正小标宋_GBK" w:cs="方正小标宋_GBK"/>
          <w:sz w:val="44"/>
        </w:rPr>
        <w:t>产权交易合同</w:t>
      </w:r>
    </w:p>
    <w:p w14:paraId="7AADD956">
      <w:pPr>
        <w:adjustRightInd w:val="0"/>
        <w:snapToGrid w:val="0"/>
        <w:spacing w:line="520" w:lineRule="exact"/>
        <w:ind w:firstLine="624"/>
        <w:rPr>
          <w:sz w:val="32"/>
        </w:rPr>
      </w:pPr>
    </w:p>
    <w:p w14:paraId="2F4F5C31">
      <w:pPr>
        <w:adjustRightInd w:val="0"/>
        <w:snapToGrid w:val="0"/>
        <w:spacing w:line="520" w:lineRule="exact"/>
        <w:rPr>
          <w:rFonts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rPr>
        <w:t>甲方（转让方）：</w:t>
      </w:r>
      <w:r>
        <w:rPr>
          <w:rFonts w:hint="eastAsia" w:ascii="仿宋" w:hAnsi="仿宋" w:eastAsia="仿宋" w:cs="方正仿宋_GB2312"/>
          <w:sz w:val="28"/>
          <w:szCs w:val="28"/>
        </w:rPr>
        <w:t>湖南龙骧交通发展集团有限责任公司龙骧出租车分公司</w:t>
      </w:r>
      <w:r>
        <w:rPr>
          <w:rFonts w:hint="eastAsia" w:ascii="方正仿宋_GB2312" w:hAnsi="方正仿宋_GB2312" w:eastAsia="方正仿宋_GB2312" w:cs="方正仿宋_GB2312"/>
          <w:sz w:val="28"/>
          <w:szCs w:val="28"/>
        </w:rPr>
        <w:t xml:space="preserve"> </w:t>
      </w:r>
      <w:r>
        <w:rPr>
          <w:rFonts w:hint="eastAsia" w:ascii="方正仿宋_GB2312" w:hAnsi="方正仿宋_GB2312" w:eastAsia="方正仿宋_GB2312" w:cs="方正仿宋_GB2312"/>
          <w:sz w:val="28"/>
          <w:szCs w:val="28"/>
          <w:u w:val="single"/>
        </w:rPr>
        <w:t xml:space="preserve">              </w:t>
      </w:r>
    </w:p>
    <w:p w14:paraId="5BA584B6">
      <w:pPr>
        <w:adjustRightInd w:val="0"/>
        <w:snapToGrid w:val="0"/>
        <w:spacing w:line="520" w:lineRule="exact"/>
        <w:rPr>
          <w:rFonts w:ascii="方正仿宋_GB2312" w:hAnsi="方正仿宋_GB2312" w:eastAsia="方正仿宋_GB2312" w:cs="方正仿宋_GB2312"/>
          <w:sz w:val="28"/>
        </w:rPr>
      </w:pPr>
      <w:r>
        <w:rPr>
          <w:rFonts w:hint="eastAsia" w:ascii="方正仿宋_GB2312" w:hAnsi="方正仿宋_GB2312" w:eastAsia="方正仿宋_GB2312" w:cs="方正仿宋_GB2312"/>
          <w:sz w:val="28"/>
        </w:rPr>
        <w:t>乙方（受让方）：</w:t>
      </w:r>
    </w:p>
    <w:p w14:paraId="1AA1BFC8">
      <w:pPr>
        <w:adjustRightInd w:val="0"/>
        <w:snapToGrid w:val="0"/>
        <w:spacing w:line="520" w:lineRule="exact"/>
        <w:ind w:firstLine="624"/>
        <w:rPr>
          <w:rFonts w:ascii="方正仿宋_GB2312" w:hAnsi="方正仿宋_GB2312" w:eastAsia="方正仿宋_GB2312" w:cs="方正仿宋_GB2312"/>
          <w:sz w:val="28"/>
        </w:rPr>
      </w:pPr>
    </w:p>
    <w:p w14:paraId="07D899CD">
      <w:pPr>
        <w:wordWrap w:val="0"/>
        <w:adjustRightInd w:val="0"/>
        <w:snapToGrid w:val="0"/>
        <w:spacing w:line="520" w:lineRule="exact"/>
        <w:ind w:firstLine="624"/>
        <w:rPr>
          <w:rFonts w:ascii="Times New Roman" w:hAnsi="Times New Roman" w:eastAsia="方正仿宋_GB2312"/>
          <w:sz w:val="28"/>
        </w:rPr>
      </w:pPr>
      <w:r>
        <w:rPr>
          <w:rFonts w:ascii="Times New Roman" w:hAnsi="Times New Roman" w:eastAsia="方正仿宋_GBK"/>
          <w:sz w:val="28"/>
        </w:rPr>
        <w:t>根据</w:t>
      </w:r>
      <w:r>
        <w:rPr>
          <w:rFonts w:ascii="Times New Roman" w:hAnsi="Times New Roman" w:eastAsia="方正仿宋_GBK"/>
          <w:sz w:val="28"/>
          <w:szCs w:val="28"/>
        </w:rPr>
        <w:t>《中华人民共和国民法典》《中华人民共和国企业国有资产法》</w:t>
      </w:r>
      <w:r>
        <w:rPr>
          <w:rFonts w:ascii="Times New Roman" w:hAnsi="Times New Roman" w:eastAsia="方正仿宋_GBK"/>
          <w:sz w:val="28"/>
        </w:rPr>
        <w:t>等有关法律法规的规定，甲、乙双方遵循平等、自愿、公平、诚实信用的原则，协商一致，订立本合同。</w:t>
      </w:r>
    </w:p>
    <w:p w14:paraId="42679A24">
      <w:pPr>
        <w:wordWrap w:val="0"/>
        <w:adjustRightInd w:val="0"/>
        <w:snapToGrid w:val="0"/>
        <w:spacing w:line="520" w:lineRule="exact"/>
        <w:ind w:firstLine="624"/>
        <w:rPr>
          <w:rFonts w:ascii="方正黑体_GBK" w:hAnsi="方正黑体_GBK" w:eastAsia="方正黑体_GBK" w:cs="方正黑体_GBK"/>
          <w:sz w:val="28"/>
        </w:rPr>
      </w:pPr>
      <w:r>
        <w:rPr>
          <w:rFonts w:hint="eastAsia" w:ascii="方正黑体_GBK" w:hAnsi="方正黑体_GBK" w:eastAsia="方正黑体_GBK" w:cs="方正黑体_GBK"/>
          <w:sz w:val="28"/>
        </w:rPr>
        <w:t>第一条　产权交易标的</w:t>
      </w:r>
    </w:p>
    <w:p w14:paraId="56560720">
      <w:pPr>
        <w:wordWrap w:val="0"/>
        <w:adjustRightInd w:val="0"/>
        <w:snapToGrid w:val="0"/>
        <w:spacing w:line="520" w:lineRule="exact"/>
        <w:ind w:firstLine="624"/>
        <w:rPr>
          <w:rFonts w:ascii="Times New Roman" w:hAnsi="Times New Roman" w:eastAsia="方正仿宋_GB2312"/>
          <w:sz w:val="28"/>
        </w:rPr>
      </w:pPr>
      <w:r>
        <w:rPr>
          <w:rFonts w:hint="default" w:ascii="Times New Roman" w:hAnsi="Times New Roman" w:eastAsia="方正仿宋_GBK" w:cs="Times New Roman"/>
          <w:sz w:val="28"/>
        </w:rPr>
        <w:t>1.1本合同标的为甲方所持有的</w:t>
      </w:r>
      <w:r>
        <w:rPr>
          <w:rFonts w:hint="eastAsia" w:ascii="Times New Roman" w:hAnsi="Times New Roman" w:eastAsia="方正仿宋_GBK" w:cs="Times New Roman"/>
          <w:sz w:val="28"/>
          <w:lang w:val="en-US" w:eastAsia="zh-CN"/>
        </w:rPr>
        <w:t>125</w:t>
      </w:r>
      <w:r>
        <w:rPr>
          <w:rFonts w:hint="default" w:ascii="Times New Roman" w:hAnsi="Times New Roman" w:eastAsia="方正仿宋_GBK" w:cs="Times New Roman"/>
          <w:sz w:val="28"/>
        </w:rPr>
        <w:t>台下线巡游出租车（长沙市出租汽车有限公司</w:t>
      </w:r>
      <w:r>
        <w:rPr>
          <w:rFonts w:hint="eastAsia" w:ascii="Times New Roman" w:hAnsi="Times New Roman" w:eastAsia="方正仿宋_GBK" w:cs="Times New Roman"/>
          <w:sz w:val="28"/>
          <w:lang w:val="en-US" w:eastAsia="zh-CN"/>
        </w:rPr>
        <w:t>411</w:t>
      </w:r>
      <w:r>
        <w:rPr>
          <w:rFonts w:hint="default" w:ascii="Times New Roman" w:hAnsi="Times New Roman" w:eastAsia="方正仿宋_GBK" w:cs="Times New Roman"/>
          <w:sz w:val="28"/>
        </w:rPr>
        <w:t>台下线出租车整体转让），产权交易标的（车辆）交易</w:t>
      </w:r>
      <w:r>
        <w:rPr>
          <w:rFonts w:hint="eastAsia" w:ascii="Times New Roman" w:hAnsi="Times New Roman" w:eastAsia="方正仿宋_GB2312"/>
          <w:sz w:val="28"/>
        </w:rPr>
        <w:t>中标</w:t>
      </w:r>
      <w:r>
        <w:rPr>
          <w:rFonts w:ascii="Times New Roman" w:hAnsi="Times New Roman" w:eastAsia="方正仿宋_GB2312"/>
          <w:sz w:val="28"/>
        </w:rPr>
        <w:t>单价为</w:t>
      </w:r>
      <w:bookmarkStart w:id="0" w:name="OLE_LINK4"/>
      <w:r>
        <w:rPr>
          <w:rFonts w:ascii="Times New Roman" w:hAnsi="Times New Roman" w:eastAsia="方正仿宋_GB2312"/>
          <w:sz w:val="28"/>
        </w:rPr>
        <w:t>人民币</w:t>
      </w:r>
      <w:r>
        <w:rPr>
          <w:rFonts w:hint="eastAsia" w:ascii="Times New Roman" w:hAnsi="Times New Roman" w:eastAsia="方正仿宋_GB2312"/>
          <w:sz w:val="28"/>
          <w:u w:val="single"/>
          <w:lang w:val="en-US" w:eastAsia="zh-CN"/>
        </w:rPr>
        <w:t xml:space="preserve">      </w:t>
      </w:r>
      <w:r>
        <w:rPr>
          <w:rFonts w:ascii="Times New Roman" w:hAnsi="Times New Roman" w:eastAsia="方正仿宋_GB2312"/>
          <w:sz w:val="28"/>
        </w:rPr>
        <w:t>元</w:t>
      </w:r>
      <w:r>
        <w:rPr>
          <w:rFonts w:hint="eastAsia" w:ascii="Times New Roman" w:hAnsi="Times New Roman" w:eastAsia="方正仿宋_GB2312"/>
          <w:sz w:val="28"/>
        </w:rPr>
        <w:t>/台</w:t>
      </w:r>
      <w:r>
        <w:rPr>
          <w:rFonts w:ascii="Times New Roman" w:hAnsi="Times New Roman" w:eastAsia="方正仿宋_GB2312"/>
          <w:sz w:val="28"/>
        </w:rPr>
        <w:t>（大写：</w:t>
      </w:r>
      <w:r>
        <w:rPr>
          <w:rFonts w:hint="eastAsia" w:ascii="仿宋" w:hAnsi="仿宋" w:eastAsia="仿宋"/>
          <w:sz w:val="28"/>
          <w:u w:val="single"/>
          <w:lang w:val="en-US" w:eastAsia="zh-CN"/>
        </w:rPr>
        <w:t xml:space="preserve">            </w:t>
      </w:r>
      <w:r>
        <w:rPr>
          <w:rFonts w:ascii="Times New Roman" w:hAnsi="Times New Roman" w:eastAsia="方正仿宋_GB2312"/>
          <w:sz w:val="28"/>
        </w:rPr>
        <w:t>）</w:t>
      </w:r>
      <w:bookmarkEnd w:id="0"/>
      <w:r>
        <w:rPr>
          <w:rFonts w:hint="eastAsia" w:ascii="Times New Roman" w:hAnsi="Times New Roman" w:eastAsia="方正仿宋_GB2312"/>
          <w:sz w:val="28"/>
        </w:rPr>
        <w:t>（含税价）</w:t>
      </w:r>
      <w:r>
        <w:rPr>
          <w:rFonts w:ascii="Times New Roman" w:hAnsi="Times New Roman" w:eastAsia="方正仿宋_GB2312"/>
          <w:sz w:val="28"/>
        </w:rPr>
        <w:t>。其中税率</w:t>
      </w:r>
      <w:r>
        <w:rPr>
          <w:rFonts w:hint="eastAsia" w:ascii="Times New Roman" w:hAnsi="Times New Roman" w:eastAsia="方正仿宋_GB2312"/>
          <w:sz w:val="28"/>
        </w:rPr>
        <w:t>为</w:t>
      </w:r>
      <w:r>
        <w:rPr>
          <w:rFonts w:ascii="Times New Roman" w:hAnsi="Times New Roman" w:eastAsia="方正仿宋_GB2312"/>
          <w:sz w:val="28"/>
        </w:rPr>
        <w:t>3%，增值税税额为</w:t>
      </w:r>
      <w:r>
        <w:rPr>
          <w:rFonts w:hint="eastAsia" w:ascii="Times New Roman" w:hAnsi="Times New Roman" w:eastAsia="方正仿宋_GB2312"/>
          <w:sz w:val="28"/>
          <w:u w:val="single"/>
        </w:rPr>
        <w:t xml:space="preserve"> </w:t>
      </w:r>
      <w:r>
        <w:rPr>
          <w:rFonts w:hint="eastAsia" w:ascii="Times New Roman" w:hAnsi="Times New Roman" w:eastAsia="方正仿宋_GB2312"/>
          <w:sz w:val="28"/>
          <w:u w:val="single"/>
          <w:lang w:val="en-US" w:eastAsia="zh-CN"/>
        </w:rPr>
        <w:t xml:space="preserve">      </w:t>
      </w:r>
      <w:r>
        <w:rPr>
          <w:rFonts w:hint="eastAsia" w:ascii="Times New Roman" w:hAnsi="Times New Roman" w:eastAsia="方正仿宋_GB2312"/>
          <w:sz w:val="28"/>
          <w:u w:val="single"/>
        </w:rPr>
        <w:t xml:space="preserve"> </w:t>
      </w:r>
      <w:r>
        <w:rPr>
          <w:rFonts w:ascii="Times New Roman" w:hAnsi="Times New Roman" w:eastAsia="方正仿宋_GB2312"/>
          <w:sz w:val="28"/>
        </w:rPr>
        <w:t xml:space="preserve"> 元，不含税价格为</w:t>
      </w:r>
      <w:r>
        <w:rPr>
          <w:rFonts w:hint="eastAsia" w:ascii="Times New Roman" w:hAnsi="Times New Roman" w:eastAsia="方正仿宋_GB2312"/>
          <w:sz w:val="28"/>
          <w:u w:val="single"/>
          <w:lang w:val="en-US" w:eastAsia="zh-CN"/>
        </w:rPr>
        <w:t xml:space="preserve">         </w:t>
      </w:r>
      <w:r>
        <w:rPr>
          <w:rFonts w:hint="eastAsia" w:ascii="Times New Roman" w:hAnsi="Times New Roman" w:eastAsia="方正仿宋_GB2312"/>
          <w:sz w:val="28"/>
          <w:u w:val="single"/>
        </w:rPr>
        <w:t xml:space="preserve"> </w:t>
      </w:r>
      <w:r>
        <w:rPr>
          <w:rFonts w:ascii="Times New Roman" w:hAnsi="Times New Roman" w:eastAsia="方正仿宋_GB2312"/>
          <w:sz w:val="28"/>
        </w:rPr>
        <w:t xml:space="preserve"> 元。</w:t>
      </w:r>
    </w:p>
    <w:p w14:paraId="73228152">
      <w:pPr>
        <w:wordWrap w:val="0"/>
        <w:adjustRightInd w:val="0"/>
        <w:snapToGrid w:val="0"/>
        <w:spacing w:line="520" w:lineRule="exact"/>
        <w:ind w:firstLine="624"/>
        <w:rPr>
          <w:rFonts w:ascii="Times New Roman" w:hAnsi="Times New Roman" w:eastAsia="方正仿宋_GB2312"/>
          <w:sz w:val="28"/>
          <w:szCs w:val="28"/>
        </w:rPr>
      </w:pPr>
      <w:r>
        <w:rPr>
          <w:rFonts w:ascii="Times New Roman" w:hAnsi="Times New Roman" w:eastAsia="方正仿宋_GB2312"/>
          <w:sz w:val="28"/>
        </w:rPr>
        <w:t>1.2标的基本情况</w:t>
      </w:r>
      <w:r>
        <w:rPr>
          <w:rFonts w:hint="eastAsia" w:ascii="Times New Roman" w:hAnsi="Times New Roman" w:eastAsia="方正仿宋_GB2312"/>
          <w:sz w:val="28"/>
        </w:rPr>
        <w:t>。</w:t>
      </w:r>
      <w:r>
        <w:rPr>
          <w:rFonts w:ascii="Times New Roman" w:hAnsi="Times New Roman" w:eastAsia="方正仿宋_GB2312"/>
          <w:sz w:val="28"/>
          <w:szCs w:val="28"/>
        </w:rPr>
        <w:t>纯电动巡游出租车</w:t>
      </w:r>
      <w:r>
        <w:rPr>
          <w:rFonts w:hint="eastAsia" w:ascii="Times New Roman" w:hAnsi="Times New Roman" w:eastAsia="方正仿宋_GB2312"/>
          <w:sz w:val="28"/>
          <w:szCs w:val="28"/>
          <w:lang w:val="en-US" w:eastAsia="zh-CN"/>
        </w:rPr>
        <w:t>125</w:t>
      </w:r>
      <w:r>
        <w:rPr>
          <w:rFonts w:ascii="Times New Roman" w:hAnsi="Times New Roman" w:eastAsia="方正仿宋_GB2312"/>
          <w:sz w:val="28"/>
          <w:szCs w:val="28"/>
        </w:rPr>
        <w:t>台，型号</w:t>
      </w:r>
      <w:r>
        <w:rPr>
          <w:rFonts w:hint="eastAsia" w:ascii="Times New Roman" w:hAnsi="Times New Roman" w:eastAsia="方正仿宋_GB2312" w:cs="Times New Roman"/>
          <w:sz w:val="28"/>
          <w:szCs w:val="28"/>
          <w:lang w:val="en-US" w:eastAsia="zh-CN"/>
        </w:rPr>
        <w:t>HQ7002BEV63。</w:t>
      </w:r>
    </w:p>
    <w:tbl>
      <w:tblPr>
        <w:tblStyle w:val="5"/>
        <w:tblW w:w="8718" w:type="dxa"/>
        <w:tblInd w:w="268" w:type="dxa"/>
        <w:tblLayout w:type="fixed"/>
        <w:tblCellMar>
          <w:top w:w="0" w:type="dxa"/>
          <w:left w:w="0" w:type="dxa"/>
          <w:bottom w:w="0" w:type="dxa"/>
          <w:right w:w="0" w:type="dxa"/>
        </w:tblCellMar>
      </w:tblPr>
      <w:tblGrid>
        <w:gridCol w:w="1987"/>
        <w:gridCol w:w="2350"/>
        <w:gridCol w:w="2169"/>
        <w:gridCol w:w="2212"/>
      </w:tblGrid>
      <w:tr w14:paraId="6920082B">
        <w:tblPrEx>
          <w:tblCellMar>
            <w:top w:w="0" w:type="dxa"/>
            <w:left w:w="0" w:type="dxa"/>
            <w:bottom w:w="0" w:type="dxa"/>
            <w:right w:w="0" w:type="dxa"/>
          </w:tblCellMar>
        </w:tblPrEx>
        <w:trPr>
          <w:trHeight w:val="488" w:hRule="atLeast"/>
        </w:trPr>
        <w:tc>
          <w:tcPr>
            <w:tcW w:w="1987" w:type="dxa"/>
            <w:tcBorders>
              <w:top w:val="single" w:color="000000" w:sz="4" w:space="0"/>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14:paraId="04FD91F3">
            <w:pPr>
              <w:widowControl/>
              <w:spacing w:line="580" w:lineRule="exact"/>
              <w:jc w:val="center"/>
              <w:textAlignment w:val="center"/>
              <w:rPr>
                <w:rFonts w:ascii="Times New Roman" w:hAnsi="Times New Roman" w:eastAsia="方正仿宋_GB2312"/>
                <w:sz w:val="28"/>
                <w:szCs w:val="28"/>
              </w:rPr>
            </w:pPr>
            <w:bookmarkStart w:id="1" w:name="OLE_LINK8"/>
            <w:r>
              <w:rPr>
                <w:rFonts w:ascii="Times New Roman" w:hAnsi="Times New Roman" w:eastAsia="方正仿宋_GB2312"/>
                <w:kern w:val="0"/>
                <w:sz w:val="28"/>
                <w:szCs w:val="28"/>
                <w:lang w:bidi="ar"/>
              </w:rPr>
              <w:t>计划处置时间</w:t>
            </w:r>
          </w:p>
        </w:tc>
        <w:tc>
          <w:tcPr>
            <w:tcW w:w="2350" w:type="dxa"/>
            <w:tcBorders>
              <w:top w:val="single" w:color="000000" w:sz="4" w:space="0"/>
              <w:left w:val="single" w:color="000000" w:sz="4" w:space="0"/>
              <w:bottom w:val="single" w:color="000000" w:sz="4" w:space="0"/>
              <w:right w:val="single" w:color="000000" w:sz="4" w:space="0"/>
              <w:tl2br w:val="nil"/>
              <w:tr2bl w:val="nil"/>
            </w:tcBorders>
            <w:tcMar>
              <w:top w:w="15" w:type="dxa"/>
              <w:left w:w="15" w:type="dxa"/>
              <w:right w:w="15" w:type="dxa"/>
            </w:tcMar>
            <w:vAlign w:val="center"/>
          </w:tcPr>
          <w:p w14:paraId="2C4D6F5E">
            <w:pPr>
              <w:widowControl/>
              <w:spacing w:line="360" w:lineRule="exact"/>
              <w:jc w:val="center"/>
              <w:textAlignment w:val="center"/>
              <w:rPr>
                <w:rFonts w:ascii="Times New Roman" w:hAnsi="Times New Roman" w:eastAsia="方正仿宋_GB2312"/>
                <w:kern w:val="0"/>
                <w:sz w:val="28"/>
                <w:szCs w:val="28"/>
                <w:lang w:bidi="ar"/>
              </w:rPr>
            </w:pPr>
            <w:r>
              <w:rPr>
                <w:rFonts w:ascii="Times New Roman" w:hAnsi="Times New Roman" w:eastAsia="方正仿宋_GB2312"/>
                <w:kern w:val="0"/>
                <w:sz w:val="28"/>
                <w:szCs w:val="28"/>
                <w:lang w:bidi="ar"/>
              </w:rPr>
              <w:t>计划处置</w:t>
            </w:r>
          </w:p>
          <w:p w14:paraId="2B057288">
            <w:pPr>
              <w:widowControl/>
              <w:spacing w:line="360" w:lineRule="exact"/>
              <w:jc w:val="center"/>
              <w:textAlignment w:val="center"/>
              <w:rPr>
                <w:rFonts w:ascii="Times New Roman" w:hAnsi="Times New Roman" w:eastAsia="方正仿宋_GB2312"/>
                <w:sz w:val="28"/>
                <w:szCs w:val="28"/>
              </w:rPr>
            </w:pPr>
            <w:r>
              <w:rPr>
                <w:rFonts w:ascii="Times New Roman" w:hAnsi="Times New Roman" w:eastAsia="方正仿宋_GB2312"/>
                <w:kern w:val="0"/>
                <w:sz w:val="28"/>
                <w:szCs w:val="28"/>
                <w:lang w:bidi="ar"/>
              </w:rPr>
              <w:t>车辆数（台）</w:t>
            </w:r>
          </w:p>
        </w:tc>
        <w:tc>
          <w:tcPr>
            <w:tcW w:w="2169" w:type="dxa"/>
            <w:tcBorders>
              <w:top w:val="single" w:color="000000" w:sz="4" w:space="0"/>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14:paraId="036BC30F">
            <w:pPr>
              <w:widowControl/>
              <w:spacing w:line="580" w:lineRule="exact"/>
              <w:jc w:val="center"/>
              <w:textAlignment w:val="center"/>
              <w:rPr>
                <w:rFonts w:ascii="Times New Roman" w:hAnsi="Times New Roman" w:eastAsia="方正仿宋_GB2312"/>
                <w:sz w:val="28"/>
                <w:szCs w:val="28"/>
              </w:rPr>
            </w:pPr>
            <w:r>
              <w:rPr>
                <w:rFonts w:ascii="Times New Roman" w:hAnsi="Times New Roman" w:eastAsia="方正仿宋_GB2312"/>
                <w:kern w:val="0"/>
                <w:sz w:val="28"/>
                <w:szCs w:val="28"/>
                <w:lang w:bidi="ar"/>
              </w:rPr>
              <w:t>型  号</w:t>
            </w:r>
          </w:p>
        </w:tc>
        <w:tc>
          <w:tcPr>
            <w:tcW w:w="2212" w:type="dxa"/>
            <w:tcBorders>
              <w:top w:val="single" w:color="000000" w:sz="4" w:space="0"/>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14:paraId="2F7B6AB1">
            <w:pPr>
              <w:widowControl/>
              <w:spacing w:line="580" w:lineRule="exact"/>
              <w:jc w:val="center"/>
              <w:textAlignment w:val="center"/>
              <w:rPr>
                <w:rFonts w:ascii="Times New Roman" w:hAnsi="Times New Roman" w:eastAsia="方正仿宋_GB2312"/>
                <w:sz w:val="28"/>
                <w:szCs w:val="28"/>
              </w:rPr>
            </w:pPr>
            <w:r>
              <w:rPr>
                <w:rFonts w:ascii="Times New Roman" w:hAnsi="Times New Roman" w:eastAsia="方正仿宋_GB2312"/>
                <w:kern w:val="0"/>
                <w:sz w:val="28"/>
                <w:szCs w:val="28"/>
                <w:lang w:bidi="ar"/>
              </w:rPr>
              <w:t>备  注</w:t>
            </w:r>
          </w:p>
        </w:tc>
      </w:tr>
      <w:tr w14:paraId="3A88F7A5">
        <w:tblPrEx>
          <w:tblCellMar>
            <w:top w:w="0" w:type="dxa"/>
            <w:left w:w="0" w:type="dxa"/>
            <w:bottom w:w="0" w:type="dxa"/>
            <w:right w:w="0" w:type="dxa"/>
          </w:tblCellMar>
        </w:tblPrEx>
        <w:trPr>
          <w:trHeight w:val="527" w:hRule="atLeast"/>
        </w:trPr>
        <w:tc>
          <w:tcPr>
            <w:tcW w:w="1987" w:type="dxa"/>
            <w:tcBorders>
              <w:top w:val="single" w:color="000000" w:sz="4" w:space="0"/>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14:paraId="3C7F1330">
            <w:pPr>
              <w:widowControl/>
              <w:spacing w:line="400" w:lineRule="exact"/>
              <w:jc w:val="center"/>
              <w:textAlignment w:val="center"/>
              <w:rPr>
                <w:rFonts w:ascii="Times New Roman" w:hAnsi="Times New Roman" w:eastAsia="方正仿宋_GB2312"/>
                <w:kern w:val="0"/>
                <w:sz w:val="28"/>
                <w:szCs w:val="28"/>
                <w:lang w:bidi="ar"/>
              </w:rPr>
            </w:pPr>
            <w:r>
              <w:rPr>
                <w:rFonts w:ascii="Times New Roman" w:hAnsi="Times New Roman" w:eastAsia="方正仿宋_GB2312"/>
                <w:kern w:val="0"/>
                <w:sz w:val="28"/>
                <w:szCs w:val="28"/>
                <w:lang w:bidi="ar"/>
              </w:rPr>
              <w:t>202</w:t>
            </w:r>
            <w:r>
              <w:rPr>
                <w:rFonts w:hint="eastAsia" w:ascii="Times New Roman" w:hAnsi="Times New Roman" w:eastAsia="方正仿宋_GB2312"/>
                <w:kern w:val="0"/>
                <w:sz w:val="28"/>
                <w:szCs w:val="28"/>
                <w:lang w:val="en-US" w:eastAsia="zh-CN" w:bidi="ar"/>
              </w:rPr>
              <w:t>6</w:t>
            </w:r>
            <w:r>
              <w:rPr>
                <w:rFonts w:ascii="Times New Roman" w:hAnsi="Times New Roman" w:eastAsia="方正仿宋_GB2312"/>
                <w:kern w:val="0"/>
                <w:sz w:val="28"/>
                <w:szCs w:val="28"/>
                <w:lang w:bidi="ar"/>
              </w:rPr>
              <w:t>年</w:t>
            </w:r>
            <w:r>
              <w:rPr>
                <w:rFonts w:hint="eastAsia" w:ascii="Times New Roman" w:hAnsi="Times New Roman" w:eastAsia="方正仿宋_GB2312"/>
                <w:kern w:val="0"/>
                <w:sz w:val="28"/>
                <w:szCs w:val="28"/>
                <w:lang w:val="en-US" w:eastAsia="zh-CN" w:bidi="ar"/>
              </w:rPr>
              <w:t>4</w:t>
            </w:r>
            <w:r>
              <w:rPr>
                <w:rFonts w:ascii="Times New Roman" w:hAnsi="Times New Roman" w:eastAsia="方正仿宋_GB2312"/>
                <w:kern w:val="0"/>
                <w:sz w:val="28"/>
                <w:szCs w:val="28"/>
                <w:lang w:bidi="ar"/>
              </w:rPr>
              <w:t>月</w:t>
            </w:r>
          </w:p>
        </w:tc>
        <w:tc>
          <w:tcPr>
            <w:tcW w:w="2350" w:type="dxa"/>
            <w:tcBorders>
              <w:top w:val="single" w:color="000000" w:sz="4" w:space="0"/>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14:paraId="0F42AFFC">
            <w:pPr>
              <w:widowControl/>
              <w:spacing w:line="400" w:lineRule="exact"/>
              <w:jc w:val="center"/>
              <w:textAlignment w:val="center"/>
              <w:rPr>
                <w:rFonts w:hint="default" w:ascii="Times New Roman" w:hAnsi="Times New Roman" w:eastAsia="方正仿宋_GB2312"/>
                <w:kern w:val="0"/>
                <w:sz w:val="28"/>
                <w:szCs w:val="28"/>
                <w:lang w:val="en-US" w:bidi="ar"/>
              </w:rPr>
            </w:pPr>
            <w:r>
              <w:rPr>
                <w:rFonts w:hint="eastAsia" w:ascii="Times New Roman" w:hAnsi="Times New Roman" w:eastAsia="方正仿宋_GB2312"/>
                <w:kern w:val="0"/>
                <w:sz w:val="28"/>
                <w:szCs w:val="28"/>
                <w:lang w:val="en-US" w:eastAsia="zh-CN" w:bidi="ar"/>
              </w:rPr>
              <w:t>120</w:t>
            </w:r>
          </w:p>
        </w:tc>
        <w:tc>
          <w:tcPr>
            <w:tcW w:w="2169" w:type="dxa"/>
            <w:tcBorders>
              <w:top w:val="single" w:color="000000" w:sz="4" w:space="0"/>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14:paraId="4B0C9BCD">
            <w:pPr>
              <w:widowControl/>
              <w:spacing w:line="400" w:lineRule="exact"/>
              <w:jc w:val="center"/>
              <w:textAlignment w:val="center"/>
              <w:rPr>
                <w:rFonts w:ascii="Times New Roman" w:hAnsi="Times New Roman" w:eastAsia="方正仿宋_GB2312"/>
                <w:kern w:val="0"/>
                <w:sz w:val="28"/>
                <w:szCs w:val="28"/>
                <w:lang w:bidi="ar"/>
              </w:rPr>
            </w:pPr>
            <w:r>
              <w:rPr>
                <w:rFonts w:hint="eastAsia" w:ascii="Times New Roman" w:hAnsi="Times New Roman" w:eastAsia="方正仿宋_GB2312" w:cs="Times New Roman"/>
                <w:sz w:val="28"/>
                <w:szCs w:val="28"/>
                <w:lang w:val="en-US" w:eastAsia="zh-CN"/>
              </w:rPr>
              <w:t>HQ7002BEV63</w:t>
            </w:r>
          </w:p>
        </w:tc>
        <w:tc>
          <w:tcPr>
            <w:tcW w:w="2212" w:type="dxa"/>
            <w:tcBorders>
              <w:top w:val="single" w:color="000000" w:sz="4" w:space="0"/>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14:paraId="09FA42CE">
            <w:pPr>
              <w:widowControl/>
              <w:spacing w:line="400" w:lineRule="exact"/>
              <w:jc w:val="center"/>
              <w:textAlignment w:val="center"/>
              <w:rPr>
                <w:rFonts w:ascii="Times New Roman" w:hAnsi="Times New Roman" w:eastAsia="方正仿宋_GB2312"/>
                <w:kern w:val="0"/>
                <w:sz w:val="28"/>
                <w:szCs w:val="28"/>
                <w:lang w:bidi="ar"/>
              </w:rPr>
            </w:pPr>
          </w:p>
        </w:tc>
      </w:tr>
      <w:tr w14:paraId="29D96560">
        <w:tblPrEx>
          <w:tblCellMar>
            <w:top w:w="0" w:type="dxa"/>
            <w:left w:w="0" w:type="dxa"/>
            <w:bottom w:w="0" w:type="dxa"/>
            <w:right w:w="0" w:type="dxa"/>
          </w:tblCellMar>
        </w:tblPrEx>
        <w:trPr>
          <w:trHeight w:val="527" w:hRule="atLeast"/>
        </w:trPr>
        <w:tc>
          <w:tcPr>
            <w:tcW w:w="1987" w:type="dxa"/>
            <w:tcBorders>
              <w:top w:val="single" w:color="000000" w:sz="4" w:space="0"/>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14:paraId="573218DB">
            <w:pPr>
              <w:widowControl/>
              <w:spacing w:line="400" w:lineRule="exact"/>
              <w:jc w:val="center"/>
              <w:textAlignment w:val="center"/>
              <w:rPr>
                <w:rFonts w:ascii="Times New Roman" w:hAnsi="Times New Roman" w:eastAsia="方正仿宋_GB2312"/>
                <w:kern w:val="0"/>
                <w:sz w:val="28"/>
                <w:szCs w:val="28"/>
                <w:lang w:bidi="ar"/>
              </w:rPr>
            </w:pPr>
            <w:r>
              <w:rPr>
                <w:rFonts w:ascii="Times New Roman" w:hAnsi="Times New Roman" w:eastAsia="方正仿宋_GB2312"/>
                <w:kern w:val="0"/>
                <w:sz w:val="28"/>
                <w:szCs w:val="28"/>
                <w:lang w:bidi="ar"/>
              </w:rPr>
              <w:t>202</w:t>
            </w:r>
            <w:r>
              <w:rPr>
                <w:rFonts w:hint="eastAsia" w:ascii="Times New Roman" w:hAnsi="Times New Roman" w:eastAsia="方正仿宋_GB2312"/>
                <w:kern w:val="0"/>
                <w:sz w:val="28"/>
                <w:szCs w:val="28"/>
                <w:lang w:val="en-US" w:eastAsia="zh-CN" w:bidi="ar"/>
              </w:rPr>
              <w:t>6</w:t>
            </w:r>
            <w:r>
              <w:rPr>
                <w:rFonts w:ascii="Times New Roman" w:hAnsi="Times New Roman" w:eastAsia="方正仿宋_GB2312"/>
                <w:kern w:val="0"/>
                <w:sz w:val="28"/>
                <w:szCs w:val="28"/>
                <w:lang w:bidi="ar"/>
              </w:rPr>
              <w:t>年1</w:t>
            </w:r>
            <w:r>
              <w:rPr>
                <w:rFonts w:hint="eastAsia" w:ascii="Times New Roman" w:hAnsi="Times New Roman" w:eastAsia="方正仿宋_GB2312"/>
                <w:kern w:val="0"/>
                <w:sz w:val="28"/>
                <w:szCs w:val="28"/>
                <w:lang w:val="en-US" w:eastAsia="zh-CN" w:bidi="ar"/>
              </w:rPr>
              <w:t>2</w:t>
            </w:r>
            <w:r>
              <w:rPr>
                <w:rFonts w:ascii="Times New Roman" w:hAnsi="Times New Roman" w:eastAsia="方正仿宋_GB2312"/>
                <w:kern w:val="0"/>
                <w:sz w:val="28"/>
                <w:szCs w:val="28"/>
                <w:lang w:bidi="ar"/>
              </w:rPr>
              <w:t>月</w:t>
            </w:r>
          </w:p>
        </w:tc>
        <w:tc>
          <w:tcPr>
            <w:tcW w:w="2350" w:type="dxa"/>
            <w:tcBorders>
              <w:top w:val="single" w:color="000000" w:sz="4" w:space="0"/>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14:paraId="5E80EFBF">
            <w:pPr>
              <w:widowControl/>
              <w:spacing w:line="400" w:lineRule="exact"/>
              <w:jc w:val="center"/>
              <w:textAlignment w:val="center"/>
              <w:rPr>
                <w:rFonts w:hint="eastAsia" w:ascii="Times New Roman" w:hAnsi="Times New Roman" w:eastAsia="方正仿宋_GB2312"/>
                <w:kern w:val="0"/>
                <w:sz w:val="28"/>
                <w:szCs w:val="28"/>
                <w:lang w:eastAsia="zh-CN" w:bidi="ar"/>
              </w:rPr>
            </w:pPr>
            <w:r>
              <w:rPr>
                <w:rFonts w:hint="eastAsia" w:ascii="Times New Roman" w:hAnsi="Times New Roman" w:eastAsia="方正仿宋_GB2312"/>
                <w:kern w:val="0"/>
                <w:sz w:val="28"/>
                <w:szCs w:val="28"/>
                <w:lang w:val="en-US" w:eastAsia="zh-CN" w:bidi="ar"/>
              </w:rPr>
              <w:t>5</w:t>
            </w:r>
          </w:p>
        </w:tc>
        <w:tc>
          <w:tcPr>
            <w:tcW w:w="2169" w:type="dxa"/>
            <w:tcBorders>
              <w:top w:val="single" w:color="000000" w:sz="4" w:space="0"/>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14:paraId="725ABAFC">
            <w:pPr>
              <w:widowControl/>
              <w:spacing w:line="400" w:lineRule="exact"/>
              <w:jc w:val="center"/>
              <w:textAlignment w:val="center"/>
              <w:rPr>
                <w:rFonts w:ascii="Times New Roman" w:hAnsi="Times New Roman" w:eastAsia="方正仿宋_GB2312"/>
                <w:kern w:val="0"/>
                <w:sz w:val="28"/>
                <w:szCs w:val="28"/>
                <w:lang w:bidi="ar"/>
              </w:rPr>
            </w:pPr>
            <w:r>
              <w:rPr>
                <w:rFonts w:hint="eastAsia" w:ascii="Times New Roman" w:hAnsi="Times New Roman" w:eastAsia="方正仿宋_GB2312" w:cs="Times New Roman"/>
                <w:sz w:val="28"/>
                <w:szCs w:val="28"/>
                <w:lang w:val="en-US" w:eastAsia="zh-CN"/>
              </w:rPr>
              <w:t>HQ7002BEV63</w:t>
            </w:r>
          </w:p>
        </w:tc>
        <w:tc>
          <w:tcPr>
            <w:tcW w:w="2212" w:type="dxa"/>
            <w:tcBorders>
              <w:top w:val="single" w:color="000000" w:sz="4" w:space="0"/>
              <w:left w:val="single" w:color="000000" w:sz="4" w:space="0"/>
              <w:bottom w:val="single" w:color="000000" w:sz="4" w:space="0"/>
              <w:right w:val="single" w:color="000000" w:sz="4" w:space="0"/>
              <w:tl2br w:val="nil"/>
              <w:tr2bl w:val="nil"/>
            </w:tcBorders>
            <w:noWrap/>
            <w:tcMar>
              <w:top w:w="15" w:type="dxa"/>
              <w:left w:w="15" w:type="dxa"/>
              <w:right w:w="15" w:type="dxa"/>
            </w:tcMar>
            <w:vAlign w:val="top"/>
          </w:tcPr>
          <w:p w14:paraId="58EBF188">
            <w:pPr>
              <w:widowControl/>
              <w:spacing w:line="400" w:lineRule="exact"/>
              <w:jc w:val="both"/>
              <w:textAlignment w:val="center"/>
              <w:rPr>
                <w:rFonts w:ascii="Times New Roman" w:hAnsi="Times New Roman" w:eastAsia="方正仿宋_GB2312"/>
                <w:kern w:val="0"/>
                <w:sz w:val="28"/>
                <w:szCs w:val="28"/>
                <w:lang w:bidi="ar"/>
              </w:rPr>
            </w:pPr>
            <w:r>
              <w:rPr>
                <w:rFonts w:hint="eastAsia" w:ascii="Times New Roman" w:hAnsi="Times New Roman" w:eastAsia="方正仿宋_GB2312" w:cs="Times New Roman"/>
                <w:color w:val="auto"/>
                <w:kern w:val="0"/>
                <w:sz w:val="24"/>
                <w:szCs w:val="24"/>
                <w:lang w:val="en-US" w:eastAsia="zh-CN" w:bidi="ar"/>
              </w:rPr>
              <w:t>注册日期为2020年12月，处置时已营运年限为6年。</w:t>
            </w:r>
          </w:p>
        </w:tc>
      </w:tr>
      <w:tr w14:paraId="4315B399">
        <w:tblPrEx>
          <w:tblCellMar>
            <w:top w:w="0" w:type="dxa"/>
            <w:left w:w="0" w:type="dxa"/>
            <w:bottom w:w="0" w:type="dxa"/>
            <w:right w:w="0" w:type="dxa"/>
          </w:tblCellMar>
        </w:tblPrEx>
        <w:trPr>
          <w:trHeight w:val="454" w:hRule="atLeast"/>
        </w:trPr>
        <w:tc>
          <w:tcPr>
            <w:tcW w:w="1987" w:type="dxa"/>
            <w:tcBorders>
              <w:top w:val="single" w:color="000000" w:sz="4" w:space="0"/>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14:paraId="2B6EB3BB">
            <w:pPr>
              <w:widowControl/>
              <w:spacing w:line="400" w:lineRule="exact"/>
              <w:jc w:val="center"/>
              <w:textAlignment w:val="center"/>
              <w:rPr>
                <w:rFonts w:ascii="Times New Roman" w:hAnsi="Times New Roman" w:eastAsia="方正仿宋_GB2312"/>
                <w:sz w:val="28"/>
                <w:szCs w:val="28"/>
              </w:rPr>
            </w:pPr>
            <w:r>
              <w:rPr>
                <w:rFonts w:ascii="Times New Roman" w:hAnsi="Times New Roman" w:eastAsia="方正仿宋_GB2312"/>
                <w:kern w:val="0"/>
                <w:sz w:val="28"/>
                <w:szCs w:val="28"/>
                <w:lang w:bidi="ar"/>
              </w:rPr>
              <w:t>合计</w:t>
            </w:r>
          </w:p>
        </w:tc>
        <w:tc>
          <w:tcPr>
            <w:tcW w:w="2350" w:type="dxa"/>
            <w:tcBorders>
              <w:top w:val="single" w:color="000000" w:sz="4" w:space="0"/>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14:paraId="38DF11FD">
            <w:pPr>
              <w:widowControl/>
              <w:spacing w:line="400" w:lineRule="exact"/>
              <w:jc w:val="center"/>
              <w:textAlignment w:val="center"/>
              <w:rPr>
                <w:rFonts w:hint="default" w:ascii="Times New Roman" w:hAnsi="Times New Roman" w:eastAsia="方正仿宋_GB2312"/>
                <w:sz w:val="28"/>
                <w:szCs w:val="28"/>
                <w:lang w:val="en-US" w:eastAsia="zh-CN"/>
              </w:rPr>
            </w:pPr>
            <w:r>
              <w:rPr>
                <w:rFonts w:hint="eastAsia" w:ascii="Times New Roman" w:hAnsi="Times New Roman" w:eastAsia="方正仿宋_GB2312"/>
                <w:sz w:val="28"/>
                <w:szCs w:val="28"/>
                <w:lang w:val="en-US" w:eastAsia="zh-CN"/>
              </w:rPr>
              <w:t>125</w:t>
            </w:r>
          </w:p>
        </w:tc>
        <w:tc>
          <w:tcPr>
            <w:tcW w:w="2169" w:type="dxa"/>
            <w:tcBorders>
              <w:top w:val="single" w:color="000000" w:sz="4" w:space="0"/>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14:paraId="66E4881E">
            <w:pPr>
              <w:widowControl/>
              <w:spacing w:line="400" w:lineRule="exact"/>
              <w:rPr>
                <w:rFonts w:ascii="Times New Roman" w:hAnsi="Times New Roman" w:eastAsia="方正仿宋_GB2312"/>
                <w:sz w:val="28"/>
                <w:szCs w:val="28"/>
              </w:rPr>
            </w:pPr>
          </w:p>
        </w:tc>
        <w:tc>
          <w:tcPr>
            <w:tcW w:w="2212" w:type="dxa"/>
            <w:tcBorders>
              <w:top w:val="single" w:color="000000" w:sz="4" w:space="0"/>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14:paraId="47B0C10A">
            <w:pPr>
              <w:widowControl/>
              <w:spacing w:line="400" w:lineRule="exact"/>
              <w:rPr>
                <w:rFonts w:ascii="Times New Roman" w:hAnsi="Times New Roman" w:eastAsia="方正仿宋_GB2312"/>
                <w:sz w:val="28"/>
                <w:szCs w:val="28"/>
              </w:rPr>
            </w:pPr>
          </w:p>
        </w:tc>
      </w:tr>
      <w:tr w14:paraId="44C678EB">
        <w:tblPrEx>
          <w:tblCellMar>
            <w:top w:w="0" w:type="dxa"/>
            <w:left w:w="0" w:type="dxa"/>
            <w:bottom w:w="0" w:type="dxa"/>
            <w:right w:w="0" w:type="dxa"/>
          </w:tblCellMar>
        </w:tblPrEx>
        <w:trPr>
          <w:trHeight w:val="404" w:hRule="atLeast"/>
        </w:trPr>
        <w:tc>
          <w:tcPr>
            <w:tcW w:w="1987" w:type="dxa"/>
            <w:tcBorders>
              <w:top w:val="single" w:color="000000" w:sz="4" w:space="0"/>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14:paraId="1B43B071">
            <w:pPr>
              <w:widowControl/>
              <w:spacing w:line="580" w:lineRule="exact"/>
              <w:jc w:val="center"/>
              <w:textAlignment w:val="center"/>
              <w:rPr>
                <w:rFonts w:ascii="Times New Roman" w:hAnsi="Times New Roman" w:eastAsia="方正仿宋_GB2312"/>
                <w:kern w:val="0"/>
                <w:sz w:val="28"/>
                <w:szCs w:val="28"/>
                <w:lang w:bidi="ar"/>
              </w:rPr>
            </w:pPr>
            <w:r>
              <w:rPr>
                <w:rFonts w:ascii="Times New Roman" w:hAnsi="Times New Roman" w:eastAsia="方正仿宋_GB2312"/>
                <w:kern w:val="0"/>
                <w:sz w:val="28"/>
                <w:szCs w:val="28"/>
                <w:lang w:bidi="ar"/>
              </w:rPr>
              <w:t xml:space="preserve">说明 </w:t>
            </w:r>
          </w:p>
        </w:tc>
        <w:tc>
          <w:tcPr>
            <w:tcW w:w="6731" w:type="dxa"/>
            <w:gridSpan w:val="3"/>
            <w:tcBorders>
              <w:top w:val="single" w:color="000000" w:sz="4" w:space="0"/>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14:paraId="33E3CE6F">
            <w:pPr>
              <w:keepNext w:val="0"/>
              <w:keepLines w:val="0"/>
              <w:pageBreakBefore w:val="0"/>
              <w:widowControl w:val="0"/>
              <w:kinsoku/>
              <w:wordWrap w:val="0"/>
              <w:overflowPunct/>
              <w:topLinePunct w:val="0"/>
              <w:autoSpaceDE/>
              <w:autoSpaceDN/>
              <w:bidi w:val="0"/>
              <w:adjustRightInd w:val="0"/>
              <w:snapToGrid w:val="0"/>
              <w:spacing w:beforeLines="0" w:afterLines="0" w:line="420" w:lineRule="exact"/>
              <w:jc w:val="both"/>
              <w:textAlignment w:val="auto"/>
              <w:rPr>
                <w:rFonts w:hint="eastAsia" w:ascii="Times New Roman" w:hAnsi="Times New Roman" w:eastAsia="方正仿宋_GB2312" w:cs="Times New Roman"/>
                <w:color w:val="auto"/>
                <w:sz w:val="24"/>
                <w:szCs w:val="24"/>
                <w:lang w:val="en-US" w:eastAsia="zh-CN"/>
              </w:rPr>
            </w:pPr>
            <w:r>
              <w:rPr>
                <w:rFonts w:hint="eastAsia" w:ascii="Times New Roman" w:hAnsi="Times New Roman" w:eastAsia="方正仿宋_GB2312"/>
                <w:sz w:val="28"/>
                <w:szCs w:val="28"/>
              </w:rPr>
              <w:t>1.</w:t>
            </w:r>
            <w:r>
              <w:rPr>
                <w:rFonts w:hint="eastAsia" w:ascii="Times New Roman" w:hAnsi="Times New Roman" w:eastAsia="方正仿宋_GB2312" w:cs="Times New Roman"/>
                <w:sz w:val="28"/>
                <w:szCs w:val="28"/>
                <w:lang w:val="en-US" w:eastAsia="zh-CN"/>
              </w:rPr>
              <w:t>2020年12月注册的5台车辆，为已延期1年经营期车辆，可能存在于计划处置时间前交车的情况。</w:t>
            </w:r>
          </w:p>
          <w:p w14:paraId="74E0E594">
            <w:pPr>
              <w:wordWrap w:val="0"/>
              <w:adjustRightInd w:val="0"/>
              <w:snapToGrid w:val="0"/>
              <w:spacing w:line="380" w:lineRule="exact"/>
              <w:rPr>
                <w:rFonts w:ascii="Times New Roman" w:hAnsi="Times New Roman" w:eastAsia="方正仿宋_GB2312"/>
                <w:sz w:val="28"/>
                <w:szCs w:val="28"/>
              </w:rPr>
            </w:pPr>
            <w:r>
              <w:rPr>
                <w:rFonts w:hint="eastAsia" w:ascii="Times New Roman" w:hAnsi="Times New Roman" w:eastAsia="方正仿宋_GB2312"/>
                <w:sz w:val="28"/>
                <w:szCs w:val="28"/>
                <w:lang w:val="en-US" w:eastAsia="zh-CN"/>
              </w:rPr>
              <w:t>2.</w:t>
            </w:r>
            <w:r>
              <w:rPr>
                <w:rFonts w:hint="eastAsia" w:ascii="Times New Roman" w:hAnsi="Times New Roman" w:eastAsia="方正仿宋_GB2312"/>
                <w:sz w:val="28"/>
                <w:szCs w:val="28"/>
              </w:rPr>
              <w:t>部分车辆（约</w:t>
            </w:r>
            <w:r>
              <w:rPr>
                <w:rFonts w:hint="eastAsia" w:ascii="Times New Roman" w:hAnsi="Times New Roman" w:eastAsia="方正仿宋_GB2312"/>
                <w:sz w:val="28"/>
                <w:szCs w:val="28"/>
                <w:lang w:val="en-US" w:eastAsia="zh-CN"/>
              </w:rPr>
              <w:t>23</w:t>
            </w:r>
            <w:r>
              <w:rPr>
                <w:rFonts w:hint="eastAsia" w:ascii="Times New Roman" w:hAnsi="Times New Roman" w:eastAsia="方正仿宋_GB2312"/>
                <w:sz w:val="28"/>
                <w:szCs w:val="28"/>
              </w:rPr>
              <w:t>台）经营合同期可能延长1年，存在实际处置数量低于标的数量可能性，乙方知晓并同意仍按实际交付数量结算，不得要求调整价款或解除合同。</w:t>
            </w:r>
          </w:p>
          <w:p w14:paraId="6A795885">
            <w:pPr>
              <w:spacing w:line="380" w:lineRule="exact"/>
              <w:rPr>
                <w:rFonts w:ascii="Times New Roman" w:hAnsi="Times New Roman" w:eastAsia="方正仿宋_GB2312"/>
                <w:sz w:val="28"/>
                <w:szCs w:val="28"/>
              </w:rPr>
            </w:pPr>
            <w:r>
              <w:rPr>
                <w:rFonts w:hint="eastAsia" w:ascii="Times New Roman" w:hAnsi="Times New Roman" w:eastAsia="方正仿宋_GB2312"/>
                <w:sz w:val="28"/>
                <w:szCs w:val="28"/>
                <w:lang w:val="en-US" w:eastAsia="zh-CN"/>
              </w:rPr>
              <w:t>3</w:t>
            </w:r>
            <w:r>
              <w:rPr>
                <w:rFonts w:hint="eastAsia" w:ascii="Times New Roman" w:hAnsi="Times New Roman" w:eastAsia="方正仿宋_GB2312"/>
                <w:sz w:val="28"/>
                <w:szCs w:val="28"/>
              </w:rPr>
              <w:t>.实际处置时间以承包经营合同期满且保险期满为准。</w:t>
            </w:r>
          </w:p>
        </w:tc>
      </w:tr>
      <w:bookmarkEnd w:id="1"/>
    </w:tbl>
    <w:p w14:paraId="7561CC79">
      <w:pPr>
        <w:wordWrap w:val="0"/>
        <w:adjustRightInd w:val="0"/>
        <w:snapToGrid w:val="0"/>
        <w:spacing w:line="520" w:lineRule="exact"/>
        <w:ind w:firstLine="624"/>
        <w:rPr>
          <w:rFonts w:ascii="方正黑体_GBK" w:hAnsi="方正黑体_GBK" w:eastAsia="方正黑体_GBK" w:cs="方正黑体_GBK"/>
          <w:sz w:val="28"/>
        </w:rPr>
      </w:pPr>
      <w:r>
        <w:rPr>
          <w:rFonts w:ascii="方正黑体_GBK" w:hAnsi="方正黑体_GBK" w:eastAsia="方正黑体_GBK" w:cs="方正黑体_GBK"/>
          <w:sz w:val="28"/>
        </w:rPr>
        <w:t>第二条　产权交易的方式</w:t>
      </w:r>
    </w:p>
    <w:p w14:paraId="7E0F9930">
      <w:pPr>
        <w:wordWrap w:val="0"/>
        <w:adjustRightInd w:val="0"/>
        <w:snapToGrid w:val="0"/>
        <w:spacing w:line="520" w:lineRule="exact"/>
        <w:ind w:firstLine="624"/>
        <w:rPr>
          <w:rFonts w:ascii="Times New Roman" w:hAnsi="Times New Roman" w:eastAsia="方正仿宋_GB2312"/>
          <w:sz w:val="28"/>
        </w:rPr>
      </w:pPr>
      <w:r>
        <w:rPr>
          <w:rFonts w:ascii="Times New Roman" w:hAnsi="Times New Roman" w:eastAsia="方正仿宋_GB2312"/>
          <w:sz w:val="28"/>
        </w:rPr>
        <w:t>2.1本合同项下产权交易于</w:t>
      </w:r>
      <w:r>
        <w:rPr>
          <w:rFonts w:hint="eastAsia" w:ascii="Times New Roman" w:hAnsi="Times New Roman" w:eastAsia="方正仿宋_GB2312"/>
          <w:sz w:val="28"/>
          <w:u w:val="single"/>
          <w:lang w:val="en-US" w:eastAsia="zh-CN"/>
        </w:rPr>
        <w:t xml:space="preserve">     </w:t>
      </w:r>
      <w:r>
        <w:rPr>
          <w:rFonts w:ascii="Times New Roman" w:hAnsi="Times New Roman" w:eastAsia="方正仿宋_GB2312"/>
          <w:sz w:val="28"/>
        </w:rPr>
        <w:t>年</w:t>
      </w:r>
      <w:r>
        <w:rPr>
          <w:rFonts w:hint="eastAsia" w:ascii="Times New Roman" w:hAnsi="Times New Roman" w:eastAsia="方正仿宋_GB2312"/>
          <w:sz w:val="28"/>
          <w:u w:val="single"/>
          <w:lang w:val="en-US" w:eastAsia="zh-CN"/>
        </w:rPr>
        <w:t xml:space="preserve">  </w:t>
      </w:r>
      <w:r>
        <w:rPr>
          <w:rFonts w:ascii="Times New Roman" w:hAnsi="Times New Roman" w:eastAsia="方正仿宋_GB2312"/>
          <w:sz w:val="28"/>
        </w:rPr>
        <w:t>月</w:t>
      </w:r>
      <w:r>
        <w:rPr>
          <w:rFonts w:hint="eastAsia" w:ascii="Times New Roman" w:hAnsi="Times New Roman" w:eastAsia="方正仿宋_GB2312"/>
          <w:sz w:val="28"/>
          <w:u w:val="single"/>
          <w:lang w:val="en-US" w:eastAsia="zh-CN"/>
        </w:rPr>
        <w:t xml:space="preserve">  </w:t>
      </w:r>
      <w:r>
        <w:rPr>
          <w:rFonts w:ascii="Times New Roman" w:hAnsi="Times New Roman" w:eastAsia="方正仿宋_GB2312"/>
          <w:sz w:val="28"/>
        </w:rPr>
        <w:t>日至</w:t>
      </w:r>
      <w:r>
        <w:rPr>
          <w:rFonts w:hint="eastAsia" w:ascii="Times New Roman" w:hAnsi="Times New Roman" w:eastAsia="方正仿宋_GB2312"/>
          <w:sz w:val="28"/>
          <w:u w:val="single"/>
          <w:lang w:val="en-US" w:eastAsia="zh-CN"/>
        </w:rPr>
        <w:t xml:space="preserve"> </w:t>
      </w:r>
      <w:bookmarkStart w:id="11" w:name="_GoBack"/>
      <w:bookmarkEnd w:id="11"/>
      <w:r>
        <w:rPr>
          <w:rFonts w:hint="eastAsia" w:ascii="Times New Roman" w:hAnsi="Times New Roman" w:eastAsia="方正仿宋_GB2312"/>
          <w:sz w:val="28"/>
          <w:u w:val="single"/>
          <w:lang w:val="en-US" w:eastAsia="zh-CN"/>
        </w:rPr>
        <w:t xml:space="preserve">    </w:t>
      </w:r>
      <w:r>
        <w:rPr>
          <w:rFonts w:ascii="Times New Roman" w:hAnsi="Times New Roman" w:eastAsia="方正仿宋_GB2312"/>
          <w:sz w:val="28"/>
        </w:rPr>
        <w:t>年</w:t>
      </w:r>
      <w:r>
        <w:rPr>
          <w:rFonts w:hint="eastAsia" w:ascii="Times New Roman" w:hAnsi="Times New Roman" w:eastAsia="方正仿宋_GB2312"/>
          <w:sz w:val="28"/>
          <w:u w:val="single"/>
          <w:lang w:val="en-US" w:eastAsia="zh-CN"/>
        </w:rPr>
        <w:t xml:space="preserve">  </w:t>
      </w:r>
      <w:r>
        <w:rPr>
          <w:rFonts w:ascii="Times New Roman" w:hAnsi="Times New Roman" w:eastAsia="方正仿宋_GB2312"/>
          <w:sz w:val="28"/>
        </w:rPr>
        <w:t>月</w:t>
      </w:r>
      <w:r>
        <w:rPr>
          <w:rFonts w:hint="eastAsia" w:ascii="Times New Roman" w:hAnsi="Times New Roman" w:eastAsia="方正仿宋_GB2312"/>
          <w:sz w:val="28"/>
          <w:u w:val="single"/>
          <w:lang w:val="en-US" w:eastAsia="zh-CN"/>
        </w:rPr>
        <w:t xml:space="preserve">  </w:t>
      </w:r>
      <w:r>
        <w:rPr>
          <w:rFonts w:ascii="Times New Roman" w:hAnsi="Times New Roman" w:eastAsia="方正仿宋_GB2312"/>
          <w:sz w:val="28"/>
        </w:rPr>
        <w:t>日</w:t>
      </w:r>
      <w:r>
        <w:rPr>
          <w:rFonts w:hint="eastAsia" w:ascii="Times New Roman" w:hAnsi="Times New Roman" w:eastAsia="方正仿宋_GB2312"/>
          <w:sz w:val="28"/>
          <w:lang w:eastAsia="zh-CN"/>
        </w:rPr>
        <w:t>，</w:t>
      </w:r>
      <w:r>
        <w:rPr>
          <w:rFonts w:ascii="Times New Roman" w:hAnsi="Times New Roman" w:eastAsia="方正仿宋_GB2312"/>
          <w:sz w:val="28"/>
        </w:rPr>
        <w:t>经长沙联交所公开挂牌，按照产权交易规则确定乙方为产权交易标的受让方，乙方同意依法受让本合同项下产权交易标的。</w:t>
      </w:r>
    </w:p>
    <w:p w14:paraId="6E6D1771">
      <w:pPr>
        <w:wordWrap w:val="0"/>
        <w:adjustRightInd w:val="0"/>
        <w:snapToGrid w:val="0"/>
        <w:spacing w:line="520" w:lineRule="exact"/>
        <w:ind w:firstLine="624"/>
        <w:rPr>
          <w:rFonts w:ascii="Times New Roman" w:hAnsi="Times New Roman" w:eastAsia="方正仿宋_GB2312"/>
          <w:w w:val="97"/>
          <w:sz w:val="28"/>
          <w:szCs w:val="28"/>
        </w:rPr>
      </w:pPr>
      <w:r>
        <w:rPr>
          <w:rFonts w:ascii="Times New Roman" w:hAnsi="Times New Roman" w:eastAsia="方正仿宋_GB2312"/>
          <w:w w:val="97"/>
          <w:sz w:val="28"/>
          <w:szCs w:val="28"/>
        </w:rPr>
        <w:t>2.2甲方所持有的</w:t>
      </w:r>
      <w:r>
        <w:rPr>
          <w:rFonts w:hint="eastAsia" w:ascii="Times New Roman" w:hAnsi="Times New Roman" w:eastAsia="方正仿宋_GB2312"/>
          <w:w w:val="97"/>
          <w:sz w:val="28"/>
          <w:szCs w:val="28"/>
          <w:lang w:val="en-US" w:eastAsia="zh-CN"/>
        </w:rPr>
        <w:t>125</w:t>
      </w:r>
      <w:r>
        <w:rPr>
          <w:rFonts w:ascii="Times New Roman" w:hAnsi="Times New Roman" w:eastAsia="方正仿宋_GB2312"/>
          <w:w w:val="97"/>
          <w:sz w:val="28"/>
          <w:szCs w:val="28"/>
        </w:rPr>
        <w:t>台下线出租车将按营运车辆实际到期日（以下简称车辆下线之日）分批次交付</w:t>
      </w:r>
      <w:r>
        <w:rPr>
          <w:rFonts w:ascii="Times New Roman" w:hAnsi="Times New Roman" w:eastAsia="方正仿宋_GB2312"/>
          <w:w w:val="97"/>
          <w:sz w:val="28"/>
          <w:szCs w:val="28"/>
          <w:lang w:bidi="ar"/>
        </w:rPr>
        <w:t>，乙方认可且</w:t>
      </w:r>
      <w:r>
        <w:rPr>
          <w:rFonts w:ascii="Times New Roman" w:hAnsi="Times New Roman" w:eastAsia="方正仿宋_GB2312"/>
          <w:w w:val="97"/>
          <w:kern w:val="0"/>
          <w:sz w:val="28"/>
          <w:szCs w:val="28"/>
          <w:shd w:val="clear" w:color="auto" w:fill="FDFDFE"/>
          <w:lang w:bidi="ar"/>
        </w:rPr>
        <w:t>同意分批次受让车辆并支付价款。</w:t>
      </w:r>
    </w:p>
    <w:p w14:paraId="78BBE068">
      <w:pPr>
        <w:wordWrap w:val="0"/>
        <w:adjustRightInd w:val="0"/>
        <w:snapToGrid w:val="0"/>
        <w:spacing w:line="520" w:lineRule="exact"/>
        <w:ind w:firstLine="624"/>
        <w:rPr>
          <w:rFonts w:ascii="方正黑体_GBK" w:hAnsi="方正黑体_GBK" w:eastAsia="方正黑体_GBK" w:cs="方正黑体_GBK"/>
          <w:sz w:val="28"/>
        </w:rPr>
      </w:pPr>
      <w:r>
        <w:rPr>
          <w:rFonts w:ascii="方正黑体_GBK" w:hAnsi="方正黑体_GBK" w:eastAsia="方正黑体_GBK" w:cs="方正黑体_GBK"/>
          <w:sz w:val="28"/>
        </w:rPr>
        <w:t>第三条　价款</w:t>
      </w:r>
    </w:p>
    <w:p w14:paraId="355321BB">
      <w:pPr>
        <w:wordWrap w:val="0"/>
        <w:adjustRightInd w:val="0"/>
        <w:snapToGrid w:val="0"/>
        <w:spacing w:line="520" w:lineRule="exact"/>
        <w:ind w:firstLine="624"/>
        <w:rPr>
          <w:rFonts w:ascii="Times New Roman" w:hAnsi="Times New Roman" w:eastAsia="方正仿宋_GB2312"/>
          <w:sz w:val="28"/>
        </w:rPr>
      </w:pPr>
      <w:bookmarkStart w:id="2" w:name="OLE_LINK5"/>
      <w:r>
        <w:rPr>
          <w:rFonts w:ascii="Times New Roman" w:hAnsi="Times New Roman" w:eastAsia="方正仿宋_GB2312"/>
          <w:sz w:val="28"/>
        </w:rPr>
        <w:t>3.1</w:t>
      </w:r>
      <w:r>
        <w:rPr>
          <w:rFonts w:hint="eastAsia" w:ascii="Times New Roman" w:hAnsi="Times New Roman" w:eastAsia="方正仿宋_GB2312"/>
          <w:sz w:val="28"/>
        </w:rPr>
        <w:t>总</w:t>
      </w:r>
      <w:r>
        <w:rPr>
          <w:rFonts w:ascii="Times New Roman" w:hAnsi="Times New Roman" w:eastAsia="方正仿宋_GB2312"/>
          <w:sz w:val="28"/>
        </w:rPr>
        <w:t>交易价款</w:t>
      </w:r>
      <w:r>
        <w:rPr>
          <w:rFonts w:hint="eastAsia" w:ascii="Times New Roman" w:hAnsi="Times New Roman" w:eastAsia="方正仿宋_GB2312"/>
          <w:sz w:val="28"/>
        </w:rPr>
        <w:t>为</w:t>
      </w:r>
      <w:r>
        <w:rPr>
          <w:rFonts w:ascii="Times New Roman" w:hAnsi="Times New Roman" w:eastAsia="方正仿宋_GB2312"/>
          <w:sz w:val="28"/>
        </w:rPr>
        <w:t>每批次的交易价款</w:t>
      </w:r>
      <w:r>
        <w:rPr>
          <w:rFonts w:hint="eastAsia" w:ascii="Times New Roman" w:hAnsi="Times New Roman" w:eastAsia="方正仿宋_GB2312"/>
          <w:sz w:val="28"/>
        </w:rPr>
        <w:t>之和，每批次交易款项根据</w:t>
      </w:r>
      <w:r>
        <w:rPr>
          <w:rFonts w:ascii="Times New Roman" w:hAnsi="Times New Roman" w:eastAsia="方正仿宋_GB2312"/>
          <w:sz w:val="28"/>
        </w:rPr>
        <w:t>实际下线处置车辆数乘以中标单价予以结算确认。</w:t>
      </w:r>
    </w:p>
    <w:bookmarkEnd w:id="2"/>
    <w:p w14:paraId="5743F31A">
      <w:pPr>
        <w:wordWrap w:val="0"/>
        <w:adjustRightInd w:val="0"/>
        <w:snapToGrid w:val="0"/>
        <w:spacing w:line="520" w:lineRule="exact"/>
        <w:ind w:firstLine="624"/>
        <w:rPr>
          <w:rFonts w:ascii="方正黑体_GBK" w:hAnsi="方正黑体_GBK" w:eastAsia="方正黑体_GBK" w:cs="方正黑体_GBK"/>
          <w:sz w:val="28"/>
        </w:rPr>
      </w:pPr>
      <w:r>
        <w:rPr>
          <w:rFonts w:ascii="方正黑体_GBK" w:hAnsi="方正黑体_GBK" w:eastAsia="方正黑体_GBK" w:cs="方正黑体_GBK"/>
          <w:sz w:val="28"/>
        </w:rPr>
        <w:t>第四条　支付方式</w:t>
      </w:r>
    </w:p>
    <w:p w14:paraId="10527847">
      <w:pPr>
        <w:spacing w:line="520" w:lineRule="exact"/>
        <w:ind w:firstLine="560" w:firstLineChars="200"/>
        <w:rPr>
          <w:rFonts w:ascii="Times New Roman" w:hAnsi="Times New Roman" w:eastAsia="方正仿宋_GB2312"/>
          <w:sz w:val="28"/>
        </w:rPr>
      </w:pPr>
      <w:r>
        <w:rPr>
          <w:rFonts w:ascii="Times New Roman" w:hAnsi="Times New Roman" w:eastAsia="方正仿宋_GB2312"/>
          <w:sz w:val="28"/>
        </w:rPr>
        <w:t>4.1乙方已支付至</w:t>
      </w:r>
      <w:r>
        <w:rPr>
          <w:rFonts w:ascii="Times New Roman" w:hAnsi="Times New Roman" w:eastAsia="方正仿宋_GB2312"/>
          <w:sz w:val="28"/>
          <w:szCs w:val="28"/>
        </w:rPr>
        <w:t>长沙联交所</w:t>
      </w:r>
      <w:r>
        <w:rPr>
          <w:rFonts w:ascii="Times New Roman" w:hAnsi="Times New Roman" w:eastAsia="方正仿宋_GB2312"/>
          <w:sz w:val="28"/>
        </w:rPr>
        <w:t>的交易保证金计人民币</w:t>
      </w:r>
      <w:r>
        <w:rPr>
          <w:rFonts w:ascii="Times New Roman" w:hAnsi="Times New Roman" w:eastAsia="方正仿宋_GB2312"/>
          <w:sz w:val="28"/>
          <w:u w:val="single"/>
        </w:rPr>
        <w:t xml:space="preserve"> </w:t>
      </w:r>
      <w:r>
        <w:rPr>
          <w:rFonts w:hint="eastAsia" w:ascii="Times New Roman" w:hAnsi="Times New Roman" w:eastAsia="方正仿宋_GB2312"/>
          <w:sz w:val="28"/>
          <w:u w:val="single"/>
          <w:lang w:val="en-US" w:eastAsia="zh-CN"/>
        </w:rPr>
        <w:t>20</w:t>
      </w:r>
      <w:r>
        <w:rPr>
          <w:rFonts w:ascii="Times New Roman" w:hAnsi="Times New Roman" w:eastAsia="方正仿宋_GB2312"/>
          <w:sz w:val="28"/>
          <w:u w:val="single"/>
        </w:rPr>
        <w:t xml:space="preserve"> </w:t>
      </w:r>
      <w:r>
        <w:rPr>
          <w:rFonts w:ascii="Times New Roman" w:hAnsi="Times New Roman" w:eastAsia="方正仿宋_GB2312"/>
          <w:sz w:val="28"/>
        </w:rPr>
        <w:t>万元（大写</w:t>
      </w:r>
      <w:r>
        <w:rPr>
          <w:rFonts w:hint="eastAsia" w:ascii="Times New Roman" w:hAnsi="Times New Roman" w:eastAsia="方正仿宋_GB2312"/>
          <w:sz w:val="28"/>
          <w:u w:val="single"/>
        </w:rPr>
        <w:t xml:space="preserve"> </w:t>
      </w:r>
      <w:r>
        <w:rPr>
          <w:rFonts w:hint="eastAsia" w:ascii="Times New Roman" w:hAnsi="Times New Roman" w:eastAsia="方正仿宋_GB2312"/>
          <w:sz w:val="28"/>
          <w:u w:val="single"/>
          <w:lang w:val="en-US" w:eastAsia="zh-CN"/>
        </w:rPr>
        <w:t>贰拾万</w:t>
      </w:r>
      <w:r>
        <w:rPr>
          <w:rFonts w:ascii="Times New Roman" w:hAnsi="Times New Roman" w:eastAsia="方正仿宋_GB2312"/>
          <w:sz w:val="28"/>
          <w:u w:val="single"/>
        </w:rPr>
        <w:t>元整）</w:t>
      </w:r>
      <w:r>
        <w:rPr>
          <w:rFonts w:ascii="Times New Roman" w:hAnsi="Times New Roman" w:eastAsia="方正仿宋_GB2312"/>
          <w:sz w:val="28"/>
        </w:rPr>
        <w:t>，</w:t>
      </w:r>
      <w:bookmarkStart w:id="3" w:name="OLE_LINK2"/>
      <w:r>
        <w:rPr>
          <w:rFonts w:ascii="Times New Roman" w:hAnsi="Times New Roman" w:eastAsia="方正仿宋_GB2312"/>
          <w:sz w:val="28"/>
        </w:rPr>
        <w:t>在本合同签订后直接转为本次产权交易</w:t>
      </w:r>
      <w:r>
        <w:rPr>
          <w:rFonts w:hint="eastAsia" w:ascii="Times New Roman" w:hAnsi="Times New Roman" w:eastAsia="方正仿宋_GB2312"/>
          <w:sz w:val="28"/>
        </w:rPr>
        <w:t>的</w:t>
      </w:r>
      <w:r>
        <w:rPr>
          <w:rFonts w:ascii="Times New Roman" w:hAnsi="Times New Roman" w:eastAsia="方正仿宋_GB2312"/>
          <w:sz w:val="28"/>
        </w:rPr>
        <w:t>履约保证金，</w:t>
      </w:r>
      <w:r>
        <w:rPr>
          <w:rFonts w:hint="eastAsia" w:ascii="Times New Roman" w:hAnsi="Times New Roman" w:eastAsia="方正仿宋_GB2312"/>
          <w:sz w:val="28"/>
        </w:rPr>
        <w:t>并</w:t>
      </w:r>
      <w:r>
        <w:rPr>
          <w:rFonts w:ascii="Times New Roman" w:hAnsi="Times New Roman" w:eastAsia="方正仿宋_GB2312"/>
          <w:sz w:val="28"/>
        </w:rPr>
        <w:t>转至甲方指定账户</w:t>
      </w:r>
      <w:r>
        <w:rPr>
          <w:rFonts w:hint="eastAsia" w:ascii="Times New Roman" w:hAnsi="Times New Roman" w:eastAsia="方正仿宋_GB2312"/>
          <w:sz w:val="28"/>
        </w:rPr>
        <w:t>。长沙联交所扣除交易服务费后，若保证金出现不足，乙方应在5个工作日内补齐差额。若乙方</w:t>
      </w:r>
      <w:r>
        <w:rPr>
          <w:rFonts w:ascii="Times New Roman" w:hAnsi="Times New Roman" w:eastAsia="方正仿宋_GB2312"/>
          <w:sz w:val="28"/>
        </w:rPr>
        <w:t>未</w:t>
      </w:r>
      <w:r>
        <w:rPr>
          <w:rFonts w:hint="eastAsia" w:ascii="Times New Roman" w:hAnsi="Times New Roman" w:eastAsia="方正仿宋_GB2312"/>
          <w:sz w:val="28"/>
        </w:rPr>
        <w:t>按合同约定</w:t>
      </w:r>
      <w:r>
        <w:rPr>
          <w:rFonts w:ascii="Times New Roman" w:hAnsi="Times New Roman" w:eastAsia="方正仿宋_GB2312"/>
          <w:sz w:val="28"/>
        </w:rPr>
        <w:t>支付交易价款的，视</w:t>
      </w:r>
      <w:r>
        <w:rPr>
          <w:rFonts w:hint="eastAsia" w:ascii="Times New Roman" w:hAnsi="Times New Roman" w:eastAsia="方正仿宋_GB2312"/>
          <w:sz w:val="28"/>
        </w:rPr>
        <w:t>为</w:t>
      </w:r>
      <w:r>
        <w:rPr>
          <w:rFonts w:ascii="Times New Roman" w:hAnsi="Times New Roman" w:eastAsia="方正仿宋_GB2312"/>
          <w:sz w:val="28"/>
        </w:rPr>
        <w:t>乙方违约，保证金不予退还。</w:t>
      </w:r>
      <w:r>
        <w:rPr>
          <w:rFonts w:hint="eastAsia" w:ascii="Times New Roman" w:hAnsi="Times New Roman" w:eastAsia="方正仿宋_GB2312"/>
          <w:sz w:val="28"/>
        </w:rPr>
        <w:t>乙方需在甲方规定的时间内完成所有批次车辆的处置工作，并将相关完整、齐全的处置手续交甲方存档。</w:t>
      </w:r>
      <w:bookmarkStart w:id="4" w:name="OLE_LINK1"/>
      <w:r>
        <w:rPr>
          <w:rFonts w:hint="eastAsia" w:ascii="Times New Roman" w:hAnsi="Times New Roman" w:eastAsia="方正仿宋_GB2312"/>
          <w:sz w:val="28"/>
        </w:rPr>
        <w:t>在乙方无违约情形的前提下，</w:t>
      </w:r>
      <w:r>
        <w:rPr>
          <w:rFonts w:ascii="Times New Roman" w:hAnsi="Times New Roman" w:eastAsia="方正仿宋_GB2312"/>
          <w:sz w:val="28"/>
        </w:rPr>
        <w:t>甲方在所有车辆完成权证变更或机动车报废注销并收到上述手续后的5个工作日内，</w:t>
      </w:r>
      <w:bookmarkEnd w:id="4"/>
      <w:r>
        <w:rPr>
          <w:rFonts w:ascii="Times New Roman" w:hAnsi="Times New Roman" w:eastAsia="方正仿宋_GB2312"/>
          <w:sz w:val="28"/>
        </w:rPr>
        <w:t>将向乙方无息退还该履约保证金。该保证金在存放期间不计息。</w:t>
      </w:r>
      <w:bookmarkEnd w:id="3"/>
    </w:p>
    <w:p w14:paraId="66D7FC37">
      <w:pPr>
        <w:spacing w:line="520" w:lineRule="exact"/>
        <w:ind w:firstLine="560" w:firstLineChars="200"/>
        <w:rPr>
          <w:rFonts w:ascii="Times New Roman" w:hAnsi="Times New Roman" w:eastAsia="方正仿宋_GB2312"/>
          <w:sz w:val="28"/>
        </w:rPr>
      </w:pPr>
      <w:r>
        <w:rPr>
          <w:rFonts w:ascii="Times New Roman" w:hAnsi="Times New Roman" w:eastAsia="方正仿宋_GB2312"/>
          <w:sz w:val="28"/>
        </w:rPr>
        <w:t>4.2乙方应在每批次车辆下线之日（由甲方确定）前2个工作日内，按照甲方确定的当批次实际处置车辆数量乘以中标单价进行结算，并将当批次的产权交易款一次性支付至甲方指定账户。</w:t>
      </w:r>
    </w:p>
    <w:p w14:paraId="16B35F5A">
      <w:pPr>
        <w:spacing w:line="520" w:lineRule="exact"/>
        <w:ind w:firstLine="560" w:firstLineChars="200"/>
        <w:rPr>
          <w:rFonts w:ascii="Times New Roman" w:hAnsi="Times New Roman" w:eastAsia="方正仿宋_GB2312"/>
          <w:sz w:val="28"/>
        </w:rPr>
      </w:pPr>
      <w:r>
        <w:rPr>
          <w:rFonts w:ascii="Times New Roman" w:hAnsi="Times New Roman" w:eastAsia="方正仿宋_GB2312"/>
          <w:sz w:val="28"/>
        </w:rPr>
        <w:t>4.3甲方须配合乙方完成标的交付及过户资料移交，转让价款</w:t>
      </w:r>
      <w:r>
        <w:rPr>
          <w:rFonts w:hint="eastAsia" w:ascii="Times New Roman" w:hAnsi="Times New Roman" w:eastAsia="方正仿宋_GB2312"/>
          <w:sz w:val="28"/>
        </w:rPr>
        <w:t>由甲乙双方直接结算，结算款项直接支付至甲方指定账户</w:t>
      </w:r>
      <w:r>
        <w:rPr>
          <w:rFonts w:ascii="Times New Roman" w:hAnsi="Times New Roman" w:eastAsia="方正仿宋_GB2312"/>
          <w:sz w:val="28"/>
        </w:rPr>
        <w:t>。</w:t>
      </w:r>
      <w:r>
        <w:rPr>
          <w:rFonts w:hint="eastAsia" w:ascii="Times New Roman" w:hAnsi="Times New Roman" w:eastAsia="方正仿宋_GB2312"/>
          <w:sz w:val="28"/>
        </w:rPr>
        <w:t>乙方明确，乙方受让甲方的车辆，如需继续使用的，双方办理产权变更手续，如需报废处置的，则甲方将车辆交付乙方后，由乙方完成机动车报废注销手续。</w:t>
      </w:r>
    </w:p>
    <w:p w14:paraId="03766591">
      <w:pPr>
        <w:wordWrap w:val="0"/>
        <w:adjustRightInd w:val="0"/>
        <w:snapToGrid w:val="0"/>
        <w:spacing w:line="520" w:lineRule="exact"/>
        <w:ind w:firstLine="624"/>
        <w:rPr>
          <w:rFonts w:ascii="Times New Roman" w:hAnsi="Times New Roman" w:eastAsia="方正仿宋_GB2312"/>
          <w:sz w:val="28"/>
        </w:rPr>
      </w:pPr>
      <w:r>
        <w:rPr>
          <w:rFonts w:ascii="Times New Roman" w:hAnsi="Times New Roman" w:eastAsia="方正仿宋_GB2312"/>
          <w:sz w:val="28"/>
        </w:rPr>
        <w:t>4.4以下银行账户为甲方收取本合同约定相关款项的账户：</w:t>
      </w:r>
    </w:p>
    <w:p w14:paraId="3F8D0E79">
      <w:pPr>
        <w:wordWrap w:val="0"/>
        <w:adjustRightInd w:val="0"/>
        <w:snapToGrid w:val="0"/>
        <w:spacing w:line="520" w:lineRule="exact"/>
        <w:ind w:firstLine="624"/>
        <w:rPr>
          <w:rFonts w:ascii="Times New Roman" w:hAnsi="Times New Roman" w:eastAsia="方正仿宋_GB2312"/>
          <w:sz w:val="28"/>
        </w:rPr>
      </w:pPr>
      <w:r>
        <w:rPr>
          <w:rFonts w:ascii="Times New Roman" w:hAnsi="Times New Roman" w:eastAsia="方正仿宋_GB2312"/>
          <w:sz w:val="28"/>
        </w:rPr>
        <w:t>甲方户名：湖南龙骧交通发展集团有限责任公司龙骧出租车分公司</w:t>
      </w:r>
    </w:p>
    <w:p w14:paraId="681401A3">
      <w:pPr>
        <w:wordWrap w:val="0"/>
        <w:adjustRightInd w:val="0"/>
        <w:snapToGrid w:val="0"/>
        <w:spacing w:line="520" w:lineRule="exact"/>
        <w:ind w:firstLine="624"/>
        <w:rPr>
          <w:rFonts w:ascii="Times New Roman" w:hAnsi="Times New Roman" w:eastAsia="方正仿宋_GB2312"/>
          <w:sz w:val="28"/>
        </w:rPr>
      </w:pPr>
      <w:r>
        <w:rPr>
          <w:rFonts w:ascii="Times New Roman" w:hAnsi="Times New Roman" w:eastAsia="方正仿宋_GB2312"/>
          <w:sz w:val="28"/>
        </w:rPr>
        <w:t>开户银行：中信银行长沙市万芙路支行</w:t>
      </w:r>
    </w:p>
    <w:p w14:paraId="3B7F9306">
      <w:pPr>
        <w:wordWrap w:val="0"/>
        <w:adjustRightInd w:val="0"/>
        <w:snapToGrid w:val="0"/>
        <w:spacing w:line="520" w:lineRule="exact"/>
        <w:ind w:firstLine="624"/>
        <w:rPr>
          <w:rFonts w:ascii="Times New Roman" w:hAnsi="Times New Roman" w:eastAsia="方正仿宋_GB2312"/>
          <w:sz w:val="28"/>
        </w:rPr>
      </w:pPr>
      <w:r>
        <w:rPr>
          <w:rFonts w:ascii="Times New Roman" w:hAnsi="Times New Roman" w:eastAsia="方正仿宋_GB2312"/>
          <w:sz w:val="28"/>
        </w:rPr>
        <w:t xml:space="preserve">银行账号：7402110182600027579 </w:t>
      </w:r>
    </w:p>
    <w:p w14:paraId="723BE5ED">
      <w:pPr>
        <w:wordWrap w:val="0"/>
        <w:adjustRightInd w:val="0"/>
        <w:snapToGrid w:val="0"/>
        <w:spacing w:line="520" w:lineRule="exact"/>
        <w:ind w:firstLine="624"/>
        <w:rPr>
          <w:rFonts w:ascii="Times New Roman" w:hAnsi="Times New Roman" w:eastAsia="方正仿宋_GB2312"/>
          <w:sz w:val="28"/>
        </w:rPr>
      </w:pPr>
      <w:r>
        <w:rPr>
          <w:rFonts w:ascii="Times New Roman" w:hAnsi="Times New Roman" w:eastAsia="方正仿宋_GB2312"/>
          <w:sz w:val="28"/>
        </w:rPr>
        <w:t>4.5乙方发票信息：</w:t>
      </w:r>
    </w:p>
    <w:p w14:paraId="0CCA808A">
      <w:pPr>
        <w:adjustRightInd w:val="0"/>
        <w:snapToGrid w:val="0"/>
        <w:spacing w:line="520" w:lineRule="exact"/>
        <w:ind w:firstLine="560" w:firstLineChars="200"/>
        <w:rPr>
          <w:rFonts w:ascii="仿宋" w:hAnsi="仿宋" w:eastAsia="仿宋"/>
          <w:spacing w:val="-24"/>
          <w:sz w:val="28"/>
          <w:szCs w:val="28"/>
        </w:rPr>
      </w:pPr>
      <w:r>
        <w:rPr>
          <w:rFonts w:ascii="仿宋" w:hAnsi="仿宋" w:eastAsia="仿宋"/>
          <w:sz w:val="28"/>
          <w:szCs w:val="28"/>
        </w:rPr>
        <w:t>公司名称:</w:t>
      </w:r>
    </w:p>
    <w:p w14:paraId="29342008">
      <w:pPr>
        <w:wordWrap w:val="0"/>
        <w:adjustRightInd w:val="0"/>
        <w:snapToGrid w:val="0"/>
        <w:spacing w:line="520" w:lineRule="exact"/>
        <w:ind w:firstLine="624"/>
        <w:rPr>
          <w:rFonts w:ascii="Times New Roman" w:hAnsi="Times New Roman" w:eastAsia="方正仿宋_GB2312"/>
          <w:sz w:val="28"/>
        </w:rPr>
      </w:pPr>
      <w:r>
        <w:rPr>
          <w:rFonts w:ascii="Times New Roman" w:hAnsi="Times New Roman" w:eastAsia="方正仿宋_GB2312"/>
          <w:sz w:val="28"/>
        </w:rPr>
        <w:t xml:space="preserve">税号: </w:t>
      </w:r>
    </w:p>
    <w:p w14:paraId="09E7CB9F">
      <w:pPr>
        <w:wordWrap w:val="0"/>
        <w:adjustRightInd w:val="0"/>
        <w:snapToGrid w:val="0"/>
        <w:spacing w:line="520" w:lineRule="exact"/>
        <w:ind w:firstLine="624"/>
        <w:rPr>
          <w:rFonts w:ascii="仿宋" w:hAnsi="仿宋" w:eastAsia="仿宋"/>
          <w:sz w:val="28"/>
          <w:szCs w:val="28"/>
        </w:rPr>
      </w:pPr>
      <w:r>
        <w:rPr>
          <w:rFonts w:ascii="仿宋" w:hAnsi="仿宋" w:eastAsia="仿宋"/>
          <w:sz w:val="28"/>
          <w:szCs w:val="28"/>
        </w:rPr>
        <w:t xml:space="preserve">地址: </w:t>
      </w:r>
    </w:p>
    <w:p w14:paraId="1E71FD8B">
      <w:pPr>
        <w:wordWrap w:val="0"/>
        <w:adjustRightInd w:val="0"/>
        <w:snapToGrid w:val="0"/>
        <w:spacing w:line="520" w:lineRule="exact"/>
        <w:ind w:firstLine="624"/>
        <w:rPr>
          <w:rFonts w:ascii="Times New Roman" w:hAnsi="Times New Roman" w:eastAsia="方正仿宋_GB2312"/>
          <w:sz w:val="28"/>
        </w:rPr>
      </w:pPr>
      <w:r>
        <w:rPr>
          <w:rFonts w:ascii="Times New Roman" w:hAnsi="Times New Roman" w:eastAsia="方正仿宋_GB2312"/>
          <w:sz w:val="28"/>
        </w:rPr>
        <w:t>电话：</w:t>
      </w:r>
    </w:p>
    <w:p w14:paraId="5003EE71">
      <w:pPr>
        <w:wordWrap w:val="0"/>
        <w:adjustRightInd w:val="0"/>
        <w:snapToGrid w:val="0"/>
        <w:spacing w:line="520" w:lineRule="exact"/>
        <w:ind w:firstLine="624"/>
        <w:rPr>
          <w:rFonts w:ascii="仿宋" w:hAnsi="仿宋" w:eastAsia="仿宋"/>
          <w:sz w:val="28"/>
          <w:szCs w:val="28"/>
        </w:rPr>
      </w:pPr>
      <w:r>
        <w:rPr>
          <w:rFonts w:ascii="仿宋" w:hAnsi="仿宋" w:eastAsia="仿宋"/>
          <w:sz w:val="28"/>
          <w:szCs w:val="28"/>
        </w:rPr>
        <w:t>开户行：</w:t>
      </w:r>
    </w:p>
    <w:p w14:paraId="3B66032C">
      <w:pPr>
        <w:wordWrap w:val="0"/>
        <w:adjustRightInd w:val="0"/>
        <w:snapToGrid w:val="0"/>
        <w:spacing w:line="520" w:lineRule="exact"/>
        <w:ind w:firstLine="624"/>
        <w:rPr>
          <w:rFonts w:ascii="Times New Roman" w:hAnsi="Times New Roman" w:eastAsia="方正仿宋_GB2312"/>
          <w:sz w:val="28"/>
        </w:rPr>
      </w:pPr>
      <w:r>
        <w:rPr>
          <w:rFonts w:ascii="Times New Roman" w:hAnsi="Times New Roman" w:eastAsia="方正仿宋_GB2312"/>
          <w:sz w:val="28"/>
        </w:rPr>
        <w:t>账号：</w:t>
      </w:r>
    </w:p>
    <w:p w14:paraId="5A63B37C">
      <w:pPr>
        <w:wordWrap w:val="0"/>
        <w:adjustRightInd w:val="0"/>
        <w:snapToGrid w:val="0"/>
        <w:spacing w:line="520" w:lineRule="exact"/>
        <w:ind w:firstLine="624"/>
        <w:rPr>
          <w:rFonts w:ascii="Times New Roman" w:hAnsi="Times New Roman" w:eastAsia="方正仿宋_GB2312"/>
          <w:sz w:val="28"/>
        </w:rPr>
      </w:pPr>
      <w:r>
        <w:rPr>
          <w:rFonts w:ascii="Times New Roman" w:hAnsi="Times New Roman" w:eastAsia="方正仿宋_GB2312"/>
          <w:sz w:val="28"/>
        </w:rPr>
        <w:t>甲方收到每批次款项后</w:t>
      </w:r>
      <w:r>
        <w:rPr>
          <w:rFonts w:ascii="Times New Roman" w:hAnsi="Times New Roman" w:eastAsia="方正仿宋_GB2312"/>
          <w:sz w:val="28"/>
          <w:u w:val="single"/>
        </w:rPr>
        <w:t xml:space="preserve"> 10 </w:t>
      </w:r>
      <w:r>
        <w:rPr>
          <w:rFonts w:ascii="Times New Roman" w:hAnsi="Times New Roman" w:eastAsia="方正仿宋_GB2312"/>
          <w:sz w:val="28"/>
        </w:rPr>
        <w:t>日内向乙方开具增值税普通发票。乙方如需变更开票信息，应提前书面告知甲方。如因乙方提供信息有误或未及时通知导致甲方开票错误的，甲方不承担任何责任，且乙方不得以此为由拒绝或拖延支付交易价款及其他相应费用。</w:t>
      </w:r>
    </w:p>
    <w:p w14:paraId="325782BB">
      <w:pPr>
        <w:wordWrap w:val="0"/>
        <w:adjustRightInd w:val="0"/>
        <w:snapToGrid w:val="0"/>
        <w:spacing w:line="520" w:lineRule="exact"/>
        <w:ind w:firstLine="624"/>
        <w:rPr>
          <w:rFonts w:ascii="方正黑体_GBK" w:hAnsi="方正黑体_GBK" w:eastAsia="方正黑体_GBK" w:cs="方正黑体_GBK"/>
          <w:sz w:val="28"/>
        </w:rPr>
      </w:pPr>
      <w:r>
        <w:rPr>
          <w:rFonts w:ascii="方正黑体_GBK" w:hAnsi="方正黑体_GBK" w:eastAsia="方正黑体_GBK" w:cs="方正黑体_GBK"/>
          <w:sz w:val="28"/>
        </w:rPr>
        <w:t>第五条　产权交接事项</w:t>
      </w:r>
    </w:p>
    <w:p w14:paraId="041E2906">
      <w:pPr>
        <w:wordWrap w:val="0"/>
        <w:adjustRightInd w:val="0"/>
        <w:snapToGrid w:val="0"/>
        <w:spacing w:line="520" w:lineRule="exact"/>
        <w:ind w:firstLine="624"/>
        <w:rPr>
          <w:rFonts w:ascii="Times New Roman" w:hAnsi="Times New Roman" w:eastAsia="方正仿宋_GB2312"/>
          <w:sz w:val="28"/>
        </w:rPr>
      </w:pPr>
      <w:r>
        <w:rPr>
          <w:rFonts w:ascii="Times New Roman" w:hAnsi="Times New Roman" w:eastAsia="方正仿宋_GB2312"/>
          <w:sz w:val="28"/>
        </w:rPr>
        <w:t>5.1</w:t>
      </w:r>
      <w:r>
        <w:rPr>
          <w:rFonts w:hint="eastAsia" w:ascii="Times New Roman" w:hAnsi="Times New Roman" w:eastAsia="方正仿宋_GB2312"/>
          <w:sz w:val="28"/>
        </w:rPr>
        <w:t xml:space="preserve"> </w:t>
      </w:r>
      <w:r>
        <w:rPr>
          <w:rFonts w:ascii="Times New Roman" w:hAnsi="Times New Roman" w:eastAsia="方正仿宋_GB2312"/>
          <w:sz w:val="28"/>
        </w:rPr>
        <w:t>甲、乙双方应当共同配合，每批次的车辆应在甲方确定的车辆下线之日后</w:t>
      </w:r>
      <w:r>
        <w:rPr>
          <w:rFonts w:ascii="Times New Roman" w:hAnsi="Times New Roman" w:eastAsia="方正仿宋_GB2312"/>
          <w:sz w:val="28"/>
          <w:u w:val="single"/>
        </w:rPr>
        <w:t xml:space="preserve"> 10 </w:t>
      </w:r>
      <w:r>
        <w:rPr>
          <w:rFonts w:ascii="Times New Roman" w:hAnsi="Times New Roman" w:eastAsia="方正仿宋_GB2312"/>
          <w:sz w:val="28"/>
        </w:rPr>
        <w:t>个工作日内完成产权持有主体的权利交接，共同配合办理产权交易标的的权证变更登记手续。所有批次</w:t>
      </w:r>
      <w:bookmarkStart w:id="5" w:name="OLE_LINK14"/>
      <w:bookmarkStart w:id="6" w:name="OLE_LINK15"/>
      <w:r>
        <w:rPr>
          <w:rFonts w:ascii="Times New Roman" w:hAnsi="Times New Roman" w:eastAsia="方正仿宋_GB2312"/>
          <w:sz w:val="28"/>
        </w:rPr>
        <w:t>车辆</w:t>
      </w:r>
      <w:bookmarkStart w:id="7" w:name="OLE_LINK16"/>
      <w:r>
        <w:rPr>
          <w:rFonts w:hint="eastAsia" w:ascii="Times New Roman" w:hAnsi="Times New Roman" w:eastAsia="方正仿宋_GB2312"/>
          <w:sz w:val="28"/>
        </w:rPr>
        <w:t>完成</w:t>
      </w:r>
      <w:r>
        <w:rPr>
          <w:rFonts w:ascii="Times New Roman" w:hAnsi="Times New Roman" w:eastAsia="方正仿宋_GB2312"/>
          <w:sz w:val="28"/>
        </w:rPr>
        <w:t>权证</w:t>
      </w:r>
      <w:bookmarkEnd w:id="5"/>
      <w:bookmarkEnd w:id="7"/>
      <w:r>
        <w:rPr>
          <w:rFonts w:ascii="Times New Roman" w:hAnsi="Times New Roman" w:eastAsia="方正仿宋_GB2312"/>
          <w:sz w:val="28"/>
        </w:rPr>
        <w:t>变更登记</w:t>
      </w:r>
      <w:r>
        <w:rPr>
          <w:rFonts w:hint="eastAsia" w:ascii="Times New Roman" w:hAnsi="Times New Roman" w:eastAsia="方正仿宋_GB2312"/>
          <w:sz w:val="28"/>
        </w:rPr>
        <w:t>或完成机动车报废注销手续</w:t>
      </w:r>
      <w:r>
        <w:rPr>
          <w:rFonts w:ascii="Times New Roman" w:hAnsi="Times New Roman" w:eastAsia="方正仿宋_GB2312"/>
          <w:sz w:val="28"/>
        </w:rPr>
        <w:t>后</w:t>
      </w:r>
      <w:bookmarkEnd w:id="6"/>
      <w:r>
        <w:rPr>
          <w:rFonts w:ascii="Times New Roman" w:hAnsi="Times New Roman" w:eastAsia="方正仿宋_GB2312"/>
          <w:sz w:val="28"/>
        </w:rPr>
        <w:t>，履约保证金</w:t>
      </w:r>
      <w:r>
        <w:rPr>
          <w:rFonts w:hint="eastAsia" w:ascii="Times New Roman" w:hAnsi="Times New Roman" w:eastAsia="方正仿宋_GB2312"/>
          <w:sz w:val="28"/>
        </w:rPr>
        <w:t>根据合同第4.1条约定</w:t>
      </w:r>
      <w:r>
        <w:rPr>
          <w:rFonts w:ascii="Times New Roman" w:hAnsi="Times New Roman" w:eastAsia="方正仿宋_GB2312"/>
          <w:sz w:val="28"/>
        </w:rPr>
        <w:t>按照原途径无息退还。</w:t>
      </w:r>
    </w:p>
    <w:p w14:paraId="413B73A2">
      <w:pPr>
        <w:wordWrap w:val="0"/>
        <w:adjustRightInd w:val="0"/>
        <w:snapToGrid w:val="0"/>
        <w:spacing w:line="520" w:lineRule="exact"/>
        <w:ind w:firstLine="624"/>
        <w:rPr>
          <w:rFonts w:ascii="Times New Roman" w:hAnsi="Times New Roman" w:eastAsia="方正仿宋_GB2312"/>
          <w:sz w:val="28"/>
          <w:u w:val="single"/>
        </w:rPr>
      </w:pPr>
      <w:bookmarkStart w:id="8" w:name="OLE_LINK3"/>
      <w:r>
        <w:rPr>
          <w:rFonts w:ascii="Times New Roman" w:hAnsi="Times New Roman" w:eastAsia="方正仿宋_GB2312"/>
          <w:sz w:val="28"/>
        </w:rPr>
        <w:t>机动车实物交接地点为：</w:t>
      </w:r>
      <w:r>
        <w:rPr>
          <w:rFonts w:ascii="Times New Roman" w:hAnsi="Times New Roman" w:eastAsia="方正仿宋_GB2312"/>
          <w:sz w:val="28"/>
          <w:u w:val="single"/>
        </w:rPr>
        <w:t>甲方指定地点</w:t>
      </w:r>
      <w:r>
        <w:rPr>
          <w:rFonts w:ascii="Times New Roman" w:hAnsi="Times New Roman" w:eastAsia="方正仿宋_GB2312"/>
          <w:sz w:val="28"/>
        </w:rPr>
        <w:t>。交付完成后，乙方指定负责人应</w:t>
      </w:r>
      <w:r>
        <w:rPr>
          <w:rFonts w:hint="eastAsia" w:ascii="Times New Roman" w:hAnsi="Times New Roman" w:eastAsia="方正仿宋_GB2312"/>
          <w:sz w:val="28"/>
          <w:lang w:eastAsia="zh-CN"/>
        </w:rPr>
        <w:t>在</w:t>
      </w:r>
      <w:r>
        <w:rPr>
          <w:rFonts w:ascii="Times New Roman" w:hAnsi="Times New Roman" w:eastAsia="方正仿宋_GB2312"/>
          <w:sz w:val="28"/>
        </w:rPr>
        <w:t>交接当日于交接清单上签字确认，逾期未确认又未提出书面异议的，视为甲方已完成交付。甲方完成交付后，乙方应当在</w:t>
      </w:r>
      <w:r>
        <w:rPr>
          <w:rFonts w:ascii="Times New Roman" w:hAnsi="Times New Roman" w:eastAsia="方正仿宋_GB2312"/>
          <w:sz w:val="28"/>
          <w:u w:val="single"/>
        </w:rPr>
        <w:t xml:space="preserve"> </w:t>
      </w:r>
      <w:r>
        <w:rPr>
          <w:rFonts w:hint="eastAsia" w:ascii="Times New Roman" w:hAnsi="Times New Roman" w:eastAsia="方正仿宋_GB2312"/>
          <w:sz w:val="28"/>
          <w:u w:val="single"/>
        </w:rPr>
        <w:t>5</w:t>
      </w:r>
      <w:r>
        <w:rPr>
          <w:rFonts w:ascii="Times New Roman" w:hAnsi="Times New Roman" w:eastAsia="方正仿宋_GB2312"/>
          <w:sz w:val="28"/>
          <w:u w:val="single"/>
        </w:rPr>
        <w:t xml:space="preserve"> </w:t>
      </w:r>
      <w:r>
        <w:rPr>
          <w:rFonts w:ascii="Times New Roman" w:hAnsi="Times New Roman" w:eastAsia="方正仿宋_GB2312"/>
          <w:sz w:val="28"/>
        </w:rPr>
        <w:t>日内将标的物自行取回，逾期未取回的，乙方应当按照</w:t>
      </w:r>
      <w:r>
        <w:rPr>
          <w:rFonts w:ascii="Times New Roman" w:hAnsi="Times New Roman" w:eastAsia="方正仿宋_GB2312"/>
          <w:sz w:val="28"/>
          <w:u w:val="single"/>
        </w:rPr>
        <w:t xml:space="preserve"> </w:t>
      </w:r>
      <w:r>
        <w:rPr>
          <w:rFonts w:hint="eastAsia" w:ascii="Times New Roman" w:hAnsi="Times New Roman" w:eastAsia="方正仿宋_GB2312"/>
          <w:sz w:val="28"/>
          <w:u w:val="single"/>
        </w:rPr>
        <w:t>5</w:t>
      </w:r>
      <w:r>
        <w:rPr>
          <w:rFonts w:ascii="Times New Roman" w:hAnsi="Times New Roman" w:eastAsia="方正仿宋_GB2312"/>
          <w:sz w:val="28"/>
          <w:u w:val="single"/>
        </w:rPr>
        <w:t xml:space="preserve"> </w:t>
      </w:r>
      <w:r>
        <w:rPr>
          <w:rFonts w:ascii="Times New Roman" w:hAnsi="Times New Roman" w:eastAsia="方正仿宋_GB2312"/>
          <w:sz w:val="28"/>
        </w:rPr>
        <w:t>元/日/台车的标准向甲方支付停车费。</w:t>
      </w:r>
    </w:p>
    <w:bookmarkEnd w:id="8"/>
    <w:p w14:paraId="67300688">
      <w:pPr>
        <w:wordWrap w:val="0"/>
        <w:adjustRightInd w:val="0"/>
        <w:snapToGrid w:val="0"/>
        <w:spacing w:line="520" w:lineRule="exact"/>
        <w:ind w:firstLine="624"/>
        <w:rPr>
          <w:rFonts w:ascii="Times New Roman" w:hAnsi="Times New Roman" w:eastAsia="方正仿宋_GB2312"/>
          <w:w w:val="96"/>
          <w:sz w:val="28"/>
        </w:rPr>
      </w:pPr>
      <w:bookmarkStart w:id="9" w:name="OLE_LINK6"/>
      <w:r>
        <w:rPr>
          <w:rFonts w:ascii="Times New Roman" w:hAnsi="Times New Roman" w:eastAsia="方正仿宋_GB2312"/>
          <w:w w:val="96"/>
          <w:sz w:val="28"/>
        </w:rPr>
        <w:t>5.2车辆</w:t>
      </w:r>
      <w:r>
        <w:rPr>
          <w:rFonts w:hint="eastAsia" w:ascii="Times New Roman" w:hAnsi="Times New Roman" w:eastAsia="方正仿宋_GB2312"/>
          <w:w w:val="96"/>
          <w:sz w:val="28"/>
        </w:rPr>
        <w:t>的交通违法处理（含扣分及罚款）由乙方</w:t>
      </w:r>
      <w:r>
        <w:rPr>
          <w:rFonts w:ascii="Times New Roman" w:hAnsi="Times New Roman" w:eastAsia="方正仿宋_GB2312"/>
          <w:w w:val="96"/>
          <w:sz w:val="28"/>
        </w:rPr>
        <w:t>承担。车辆移交至乙方后</w:t>
      </w:r>
      <w:r>
        <w:rPr>
          <w:rFonts w:hint="eastAsia" w:ascii="Times New Roman" w:hAnsi="Times New Roman" w:eastAsia="方正仿宋_GB2312"/>
          <w:w w:val="96"/>
          <w:sz w:val="28"/>
        </w:rPr>
        <w:t>产生的劳务费、协调费、转运费、机械设备使用费等</w:t>
      </w:r>
      <w:r>
        <w:rPr>
          <w:rFonts w:ascii="Times New Roman" w:hAnsi="Times New Roman" w:eastAsia="方正仿宋_GB2312"/>
          <w:w w:val="96"/>
          <w:sz w:val="28"/>
        </w:rPr>
        <w:t>由乙方承担。</w:t>
      </w:r>
    </w:p>
    <w:bookmarkEnd w:id="9"/>
    <w:p w14:paraId="1D8466DF">
      <w:pPr>
        <w:wordWrap w:val="0"/>
        <w:adjustRightInd w:val="0"/>
        <w:snapToGrid w:val="0"/>
        <w:spacing w:line="520" w:lineRule="exact"/>
        <w:ind w:firstLine="624"/>
        <w:rPr>
          <w:rFonts w:ascii="Times New Roman" w:hAnsi="Times New Roman" w:eastAsia="方正仿宋_GB2312"/>
          <w:sz w:val="28"/>
        </w:rPr>
      </w:pPr>
      <w:r>
        <w:rPr>
          <w:rFonts w:ascii="Times New Roman" w:hAnsi="Times New Roman" w:eastAsia="方正仿宋_GB2312"/>
          <w:sz w:val="28"/>
        </w:rPr>
        <w:t>5.3产权交易涉及需向有关部门备案或审批的，甲、乙双方应共同履行向有关部门申报的义务。</w:t>
      </w:r>
    </w:p>
    <w:p w14:paraId="6043D7E8">
      <w:pPr>
        <w:wordWrap w:val="0"/>
        <w:adjustRightInd w:val="0"/>
        <w:snapToGrid w:val="0"/>
        <w:spacing w:line="520" w:lineRule="exact"/>
        <w:ind w:firstLine="624"/>
        <w:rPr>
          <w:rFonts w:ascii="Times New Roman" w:hAnsi="Times New Roman" w:eastAsia="方正仿宋_GB2312"/>
          <w:w w:val="98"/>
          <w:sz w:val="28"/>
        </w:rPr>
      </w:pPr>
      <w:r>
        <w:rPr>
          <w:rFonts w:ascii="Times New Roman" w:hAnsi="Times New Roman" w:eastAsia="方正仿宋_GB2312"/>
          <w:w w:val="98"/>
          <w:sz w:val="28"/>
        </w:rPr>
        <w:t>5.4在交易基准日至产权持有主体完成权利交接前，标的毁损、灭失的风险由乙方承担，甲方对本合同项下的产权交易标的负有善良管理的义务。</w:t>
      </w:r>
    </w:p>
    <w:p w14:paraId="4043460B">
      <w:pPr>
        <w:wordWrap w:val="0"/>
        <w:adjustRightInd w:val="0"/>
        <w:snapToGrid w:val="0"/>
        <w:spacing w:line="520" w:lineRule="exact"/>
        <w:ind w:firstLine="624"/>
        <w:rPr>
          <w:rFonts w:ascii="Times New Roman" w:hAnsi="Times New Roman" w:eastAsia="方正仿宋_GB2312"/>
          <w:sz w:val="28"/>
        </w:rPr>
      </w:pPr>
      <w:r>
        <w:rPr>
          <w:rFonts w:ascii="Times New Roman" w:hAnsi="Times New Roman" w:eastAsia="方正仿宋_GB2312"/>
          <w:sz w:val="28"/>
        </w:rPr>
        <w:t>5.5本次交易标的由甲方按挂牌时的现状移交给乙方，不因差异情况而调整成交价格和交易服务费。</w:t>
      </w:r>
    </w:p>
    <w:p w14:paraId="45731219">
      <w:pPr>
        <w:wordWrap w:val="0"/>
        <w:adjustRightInd w:val="0"/>
        <w:snapToGrid w:val="0"/>
        <w:spacing w:line="520" w:lineRule="exact"/>
        <w:ind w:firstLine="624"/>
        <w:rPr>
          <w:rFonts w:ascii="方正黑体_GBK" w:hAnsi="方正黑体_GBK" w:eastAsia="方正黑体_GBK" w:cs="方正黑体_GBK"/>
          <w:sz w:val="28"/>
        </w:rPr>
      </w:pPr>
      <w:r>
        <w:rPr>
          <w:rFonts w:ascii="方正黑体_GBK" w:hAnsi="方正黑体_GBK" w:eastAsia="方正黑体_GBK" w:cs="方正黑体_GBK"/>
          <w:sz w:val="28"/>
        </w:rPr>
        <w:t>第六条　产权交易</w:t>
      </w:r>
      <w:r>
        <w:rPr>
          <w:rFonts w:hint="eastAsia" w:ascii="方正黑体_GBK" w:hAnsi="方正黑体_GBK" w:eastAsia="方正黑体_GBK" w:cs="方正黑体_GBK"/>
          <w:sz w:val="28"/>
        </w:rPr>
        <w:t>产生的相关</w:t>
      </w:r>
      <w:r>
        <w:rPr>
          <w:rFonts w:ascii="方正黑体_GBK" w:hAnsi="方正黑体_GBK" w:eastAsia="方正黑体_GBK" w:cs="方正黑体_GBK"/>
          <w:sz w:val="28"/>
        </w:rPr>
        <w:t>费用</w:t>
      </w:r>
    </w:p>
    <w:p w14:paraId="6ED49506">
      <w:pPr>
        <w:wordWrap w:val="0"/>
        <w:adjustRightInd w:val="0"/>
        <w:snapToGrid w:val="0"/>
        <w:spacing w:line="520" w:lineRule="exact"/>
        <w:ind w:firstLine="624"/>
        <w:rPr>
          <w:rFonts w:ascii="Times New Roman" w:hAnsi="Times New Roman" w:eastAsia="方正仿宋_GB2312"/>
          <w:sz w:val="28"/>
        </w:rPr>
      </w:pPr>
      <w:r>
        <w:rPr>
          <w:rFonts w:ascii="Times New Roman" w:hAnsi="Times New Roman" w:eastAsia="方正仿宋_GB2312"/>
          <w:sz w:val="28"/>
        </w:rPr>
        <w:t>6.1产权交易中涉及的车辆过户</w:t>
      </w:r>
      <w:r>
        <w:rPr>
          <w:rFonts w:hint="eastAsia" w:ascii="Times New Roman" w:hAnsi="Times New Roman" w:eastAsia="方正仿宋_GB2312"/>
          <w:sz w:val="28"/>
        </w:rPr>
        <w:t>、车辆报废</w:t>
      </w:r>
      <w:r>
        <w:rPr>
          <w:rFonts w:ascii="Times New Roman" w:hAnsi="Times New Roman" w:eastAsia="方正仿宋_GB2312"/>
          <w:sz w:val="28"/>
        </w:rPr>
        <w:t>所产生的一切费用（包括但不限于过户费、停车费、运输费等）由乙方承担。</w:t>
      </w:r>
    </w:p>
    <w:p w14:paraId="5CE6FD7C">
      <w:pPr>
        <w:wordWrap w:val="0"/>
        <w:adjustRightInd w:val="0"/>
        <w:snapToGrid w:val="0"/>
        <w:spacing w:line="520" w:lineRule="exact"/>
        <w:ind w:firstLine="624"/>
        <w:rPr>
          <w:rFonts w:ascii="Times New Roman" w:hAnsi="Times New Roman" w:eastAsia="方正仿宋_GB2312"/>
          <w:sz w:val="28"/>
        </w:rPr>
      </w:pPr>
      <w:r>
        <w:rPr>
          <w:rFonts w:ascii="Times New Roman" w:hAnsi="Times New Roman" w:eastAsia="方正仿宋_GB2312"/>
          <w:sz w:val="28"/>
        </w:rPr>
        <w:t>6.2本合同项下产权交易标的在交易过程中所产生的产权交易费用由乙方承担。</w:t>
      </w:r>
    </w:p>
    <w:p w14:paraId="777C994F">
      <w:pPr>
        <w:wordWrap w:val="0"/>
        <w:adjustRightInd w:val="0"/>
        <w:snapToGrid w:val="0"/>
        <w:spacing w:line="520" w:lineRule="exact"/>
        <w:ind w:firstLine="624"/>
        <w:rPr>
          <w:rFonts w:ascii="Times New Roman" w:hAnsi="Times New Roman" w:eastAsia="方正仿宋_GB2312"/>
          <w:sz w:val="28"/>
        </w:rPr>
      </w:pPr>
      <w:bookmarkStart w:id="10" w:name="OLE_LINK7"/>
      <w:r>
        <w:rPr>
          <w:rFonts w:ascii="Times New Roman" w:hAnsi="Times New Roman" w:eastAsia="方正仿宋_GB2312"/>
          <w:sz w:val="28"/>
        </w:rPr>
        <w:t>6.3甲方下线处置车辆统一转让给乙方，按实际到期日分批交付。乙方负责处置车辆相关手续办理</w:t>
      </w:r>
      <w:r>
        <w:rPr>
          <w:rFonts w:hint="eastAsia" w:ascii="Times New Roman" w:hAnsi="Times New Roman" w:eastAsia="方正仿宋_GB2312"/>
          <w:sz w:val="28"/>
        </w:rPr>
        <w:t>（包括机动车产权变更及机动车注销报废相关手续办理）</w:t>
      </w:r>
      <w:r>
        <w:rPr>
          <w:rFonts w:ascii="Times New Roman" w:hAnsi="Times New Roman" w:eastAsia="方正仿宋_GB2312"/>
          <w:sz w:val="28"/>
        </w:rPr>
        <w:t>，车辆的转籍、停放、运输</w:t>
      </w:r>
      <w:r>
        <w:rPr>
          <w:rFonts w:hint="eastAsia" w:ascii="Times New Roman" w:hAnsi="Times New Roman" w:eastAsia="方正仿宋_GB2312"/>
          <w:sz w:val="28"/>
        </w:rPr>
        <w:t>、报废</w:t>
      </w:r>
      <w:r>
        <w:rPr>
          <w:rFonts w:ascii="Times New Roman" w:hAnsi="Times New Roman" w:eastAsia="方正仿宋_GB2312"/>
          <w:sz w:val="28"/>
        </w:rPr>
        <w:t>费用均由乙方承担。</w:t>
      </w:r>
    </w:p>
    <w:bookmarkEnd w:id="10"/>
    <w:p w14:paraId="21AE3414">
      <w:pPr>
        <w:wordWrap w:val="0"/>
        <w:adjustRightInd w:val="0"/>
        <w:snapToGrid w:val="0"/>
        <w:spacing w:line="520" w:lineRule="exact"/>
        <w:ind w:firstLine="624"/>
        <w:rPr>
          <w:rFonts w:ascii="方正黑体_GBK" w:hAnsi="方正黑体_GBK" w:eastAsia="方正黑体_GBK" w:cs="方正黑体_GBK"/>
          <w:sz w:val="28"/>
        </w:rPr>
      </w:pPr>
      <w:r>
        <w:rPr>
          <w:rFonts w:ascii="方正黑体_GBK" w:hAnsi="方正黑体_GBK" w:eastAsia="方正黑体_GBK" w:cs="方正黑体_GBK"/>
          <w:sz w:val="28"/>
        </w:rPr>
        <w:t>第七条　甲、乙双方的承诺</w:t>
      </w:r>
    </w:p>
    <w:p w14:paraId="429E9089">
      <w:pPr>
        <w:wordWrap w:val="0"/>
        <w:adjustRightInd w:val="0"/>
        <w:snapToGrid w:val="0"/>
        <w:spacing w:line="520" w:lineRule="exact"/>
        <w:ind w:firstLine="624"/>
        <w:rPr>
          <w:rFonts w:ascii="Times New Roman" w:hAnsi="Times New Roman" w:eastAsia="方正仿宋_GB2312"/>
          <w:sz w:val="28"/>
        </w:rPr>
      </w:pPr>
      <w:r>
        <w:rPr>
          <w:rFonts w:ascii="Times New Roman" w:hAnsi="Times New Roman" w:eastAsia="方正仿宋_GB2312"/>
          <w:sz w:val="28"/>
        </w:rPr>
        <w:t>7.1甲方对本合同项下的产权交易标的拥有合法、有效和完整的处分权，没有隐匿产权标的已知或应知的瑕疵或其他情况。</w:t>
      </w:r>
    </w:p>
    <w:p w14:paraId="3CDB7D99">
      <w:pPr>
        <w:wordWrap w:val="0"/>
        <w:adjustRightInd w:val="0"/>
        <w:snapToGrid w:val="0"/>
        <w:spacing w:line="520" w:lineRule="exact"/>
        <w:ind w:firstLine="624"/>
        <w:rPr>
          <w:rFonts w:ascii="Times New Roman" w:hAnsi="Times New Roman" w:eastAsia="方正仿宋_GB2312"/>
          <w:sz w:val="28"/>
        </w:rPr>
      </w:pPr>
      <w:r>
        <w:rPr>
          <w:rFonts w:ascii="Times New Roman" w:hAnsi="Times New Roman" w:eastAsia="方正仿宋_GB2312"/>
          <w:sz w:val="28"/>
        </w:rPr>
        <w:t>7.2甲方保证就转让标的所设置的可能影响产权转让的任何担保或限制，甲方已取得有关权利人的同意或认可。</w:t>
      </w:r>
    </w:p>
    <w:p w14:paraId="0412B6C6">
      <w:pPr>
        <w:wordWrap w:val="0"/>
        <w:adjustRightInd w:val="0"/>
        <w:snapToGrid w:val="0"/>
        <w:spacing w:line="520" w:lineRule="exact"/>
        <w:ind w:firstLine="624"/>
        <w:rPr>
          <w:rFonts w:ascii="Times New Roman" w:hAnsi="Times New Roman" w:eastAsia="方正仿宋_GB2312"/>
          <w:sz w:val="28"/>
        </w:rPr>
      </w:pPr>
      <w:r>
        <w:rPr>
          <w:rFonts w:ascii="Times New Roman" w:hAnsi="Times New Roman" w:eastAsia="方正仿宋_GB2312"/>
          <w:sz w:val="28"/>
        </w:rPr>
        <w:t>7.3乙方具备合法的主体资格，无欺诈行为。</w:t>
      </w:r>
    </w:p>
    <w:p w14:paraId="1FD7347D">
      <w:pPr>
        <w:wordWrap w:val="0"/>
        <w:adjustRightInd w:val="0"/>
        <w:snapToGrid w:val="0"/>
        <w:spacing w:line="520" w:lineRule="exact"/>
        <w:ind w:firstLine="624"/>
        <w:rPr>
          <w:rFonts w:ascii="Times New Roman" w:hAnsi="Times New Roman" w:eastAsia="方正仿宋_GB2312"/>
          <w:sz w:val="28"/>
        </w:rPr>
      </w:pPr>
      <w:r>
        <w:rPr>
          <w:rFonts w:ascii="Times New Roman" w:hAnsi="Times New Roman" w:eastAsia="方正仿宋_GB2312"/>
          <w:sz w:val="28"/>
        </w:rPr>
        <w:t>7.4乙方受让本合同项下转让标的符合法律、法规的规定，不违背中国境内的相关产业政策，资金来源合法。</w:t>
      </w:r>
    </w:p>
    <w:p w14:paraId="335FAEF0">
      <w:pPr>
        <w:wordWrap w:val="0"/>
        <w:adjustRightInd w:val="0"/>
        <w:snapToGrid w:val="0"/>
        <w:spacing w:line="520" w:lineRule="exact"/>
        <w:ind w:firstLine="624"/>
        <w:rPr>
          <w:rFonts w:ascii="Times New Roman" w:hAnsi="Times New Roman" w:eastAsia="方正仿宋_GB2312"/>
          <w:sz w:val="28"/>
        </w:rPr>
      </w:pPr>
      <w:r>
        <w:rPr>
          <w:rFonts w:ascii="Times New Roman" w:hAnsi="Times New Roman" w:eastAsia="方正仿宋_GB2312"/>
          <w:sz w:val="28"/>
        </w:rPr>
        <w:t>7.5甲方、乙方提交的涉及产权交易的各项证明文件及资料均真实、完整、准确、合法、有效，不存在故意隐瞒对本合同构成重大不利影响的任何债务、争议、诉讼等情况。</w:t>
      </w:r>
    </w:p>
    <w:p w14:paraId="77469835">
      <w:pPr>
        <w:wordWrap w:val="0"/>
        <w:adjustRightInd w:val="0"/>
        <w:snapToGrid w:val="0"/>
        <w:spacing w:line="520" w:lineRule="exact"/>
        <w:ind w:firstLine="624"/>
        <w:rPr>
          <w:rFonts w:ascii="Times New Roman" w:hAnsi="Times New Roman" w:eastAsia="方正仿宋_GB2312"/>
          <w:sz w:val="28"/>
        </w:rPr>
      </w:pPr>
      <w:r>
        <w:rPr>
          <w:rFonts w:ascii="Times New Roman" w:hAnsi="Times New Roman" w:eastAsia="方正仿宋_GB2312"/>
          <w:sz w:val="28"/>
        </w:rPr>
        <w:t>7.6甲、乙双方签订本合同所需的包括但不限于授权、审批、公司内部决策等在内的一切手续均合法有效，本合同成立和产权转让的前提条件均已满足。</w:t>
      </w:r>
    </w:p>
    <w:p w14:paraId="37EB2742">
      <w:pPr>
        <w:wordWrap w:val="0"/>
        <w:adjustRightInd w:val="0"/>
        <w:snapToGrid w:val="0"/>
        <w:spacing w:line="520" w:lineRule="exact"/>
        <w:ind w:firstLine="624"/>
        <w:rPr>
          <w:rFonts w:ascii="Times New Roman" w:hAnsi="Times New Roman" w:eastAsia="方正仿宋_GB2312"/>
          <w:sz w:val="28"/>
        </w:rPr>
      </w:pPr>
      <w:r>
        <w:rPr>
          <w:rFonts w:ascii="Times New Roman" w:hAnsi="Times New Roman" w:eastAsia="方正仿宋_GB2312"/>
          <w:sz w:val="28"/>
        </w:rPr>
        <w:t>7.7未经对方事先书面许可，任何一方不得泄露本合同及附件中的内容，但依照国家有关规定要求披露的除外。</w:t>
      </w:r>
    </w:p>
    <w:p w14:paraId="4BA89033">
      <w:pPr>
        <w:wordWrap w:val="0"/>
        <w:adjustRightInd w:val="0"/>
        <w:snapToGrid w:val="0"/>
        <w:spacing w:line="520" w:lineRule="exact"/>
        <w:ind w:firstLine="624"/>
        <w:rPr>
          <w:rFonts w:ascii="Times New Roman" w:hAnsi="Times New Roman" w:eastAsia="方正仿宋_GB2312"/>
          <w:sz w:val="28"/>
        </w:rPr>
      </w:pPr>
      <w:r>
        <w:rPr>
          <w:rFonts w:ascii="Times New Roman" w:hAnsi="Times New Roman" w:eastAsia="方正仿宋_GB2312"/>
          <w:sz w:val="28"/>
        </w:rPr>
        <w:t>7.8双方承诺履行本合同不侵犯第三人权利，因此给另一方造成损失的，应承担赔偿责任。</w:t>
      </w:r>
    </w:p>
    <w:p w14:paraId="198FCF11">
      <w:pPr>
        <w:wordWrap w:val="0"/>
        <w:adjustRightInd w:val="0"/>
        <w:snapToGrid w:val="0"/>
        <w:spacing w:line="520" w:lineRule="exact"/>
        <w:ind w:firstLine="624"/>
        <w:rPr>
          <w:rFonts w:ascii="方正黑体_GBK" w:hAnsi="方正黑体_GBK" w:eastAsia="方正黑体_GBK" w:cs="方正黑体_GBK"/>
          <w:sz w:val="28"/>
        </w:rPr>
      </w:pPr>
      <w:r>
        <w:rPr>
          <w:rFonts w:ascii="方正黑体_GBK" w:hAnsi="方正黑体_GBK" w:eastAsia="方正黑体_GBK" w:cs="方正黑体_GBK"/>
          <w:sz w:val="28"/>
        </w:rPr>
        <w:t>第八条　违约责任</w:t>
      </w:r>
    </w:p>
    <w:p w14:paraId="1C7FDF5F">
      <w:pPr>
        <w:wordWrap w:val="0"/>
        <w:adjustRightInd w:val="0"/>
        <w:snapToGrid w:val="0"/>
        <w:spacing w:line="520" w:lineRule="exact"/>
        <w:ind w:firstLine="624"/>
        <w:rPr>
          <w:rFonts w:ascii="Times New Roman" w:hAnsi="Times New Roman" w:eastAsia="方正仿宋_GB2312"/>
          <w:sz w:val="28"/>
        </w:rPr>
      </w:pPr>
      <w:r>
        <w:rPr>
          <w:rFonts w:ascii="Times New Roman" w:hAnsi="Times New Roman" w:eastAsia="方正仿宋_GB2312"/>
          <w:sz w:val="28"/>
        </w:rPr>
        <w:t>8.1乙方若逾期</w:t>
      </w:r>
      <w:r>
        <w:rPr>
          <w:rFonts w:hint="eastAsia" w:ascii="Times New Roman" w:hAnsi="Times New Roman" w:eastAsia="方正仿宋_GB2312"/>
          <w:sz w:val="28"/>
          <w:lang w:val="en-US" w:eastAsia="zh-CN"/>
        </w:rPr>
        <w:t>未</w:t>
      </w:r>
      <w:r>
        <w:rPr>
          <w:rFonts w:ascii="Times New Roman" w:hAnsi="Times New Roman" w:eastAsia="方正仿宋_GB2312"/>
          <w:sz w:val="28"/>
        </w:rPr>
        <w:t>足额支付任意一期交易价款，每逾期一日应按逾期支付部分价款的</w:t>
      </w:r>
      <w:r>
        <w:rPr>
          <w:rFonts w:hint="eastAsia" w:ascii="Times New Roman" w:hAnsi="Times New Roman" w:eastAsia="方正仿宋_GB2312"/>
          <w:sz w:val="28"/>
          <w:lang w:val="en-US" w:eastAsia="zh-CN"/>
        </w:rPr>
        <w:t>万分之二</w:t>
      </w:r>
      <w:r>
        <w:rPr>
          <w:rFonts w:ascii="Times New Roman" w:hAnsi="Times New Roman" w:eastAsia="方正仿宋_GB2312"/>
          <w:sz w:val="28"/>
        </w:rPr>
        <w:t>向甲方支付违约金，逾期超过</w:t>
      </w:r>
      <w:r>
        <w:rPr>
          <w:rFonts w:ascii="Times New Roman" w:hAnsi="Times New Roman" w:eastAsia="方正仿宋_GB2312"/>
          <w:sz w:val="28"/>
          <w:u w:val="single"/>
        </w:rPr>
        <w:t>30</w:t>
      </w:r>
      <w:r>
        <w:rPr>
          <w:rFonts w:ascii="Times New Roman" w:hAnsi="Times New Roman" w:eastAsia="方正仿宋_GB2312"/>
          <w:sz w:val="28"/>
        </w:rPr>
        <w:t>日的，甲方有权解除合同，不予退还保证金，并要求乙方赔偿损失，包括但不限于甲方对标的物挂牌的费用、车辆因重新选定受让人期间车辆的贬值损失以及因甲方向乙方主张权利所产生的律师费、保全费、保函费等相关费用。</w:t>
      </w:r>
    </w:p>
    <w:p w14:paraId="544675DA">
      <w:pPr>
        <w:wordWrap w:val="0"/>
        <w:adjustRightInd w:val="0"/>
        <w:snapToGrid w:val="0"/>
        <w:spacing w:line="520" w:lineRule="exact"/>
        <w:ind w:firstLine="624"/>
        <w:rPr>
          <w:rFonts w:ascii="Times New Roman" w:hAnsi="Times New Roman" w:eastAsia="方正仿宋_GB2312"/>
          <w:sz w:val="28"/>
        </w:rPr>
      </w:pPr>
      <w:r>
        <w:rPr>
          <w:rFonts w:ascii="Times New Roman" w:hAnsi="Times New Roman" w:eastAsia="方正仿宋_GB2312"/>
          <w:sz w:val="28"/>
        </w:rPr>
        <w:t>8.2甲方若无故逾期不配合乙方完成产权持有主体的权利交接或不配合办理权证变更、机动车注销报废手续的，每逾期一日应按</w:t>
      </w:r>
      <w:r>
        <w:rPr>
          <w:rFonts w:hint="eastAsia" w:ascii="Times New Roman" w:hAnsi="Times New Roman" w:eastAsia="方正仿宋_GB2312"/>
          <w:sz w:val="28"/>
        </w:rPr>
        <w:t>当批次</w:t>
      </w:r>
      <w:r>
        <w:rPr>
          <w:rFonts w:ascii="Times New Roman" w:hAnsi="Times New Roman" w:eastAsia="方正仿宋_GB2312"/>
          <w:sz w:val="28"/>
        </w:rPr>
        <w:t>交易价款的</w:t>
      </w:r>
      <w:r>
        <w:rPr>
          <w:rFonts w:hint="eastAsia" w:ascii="Times New Roman" w:hAnsi="Times New Roman" w:eastAsia="方正仿宋_GB2312"/>
          <w:sz w:val="28"/>
          <w:lang w:val="en-US" w:eastAsia="zh-CN"/>
        </w:rPr>
        <w:t>万分之二</w:t>
      </w:r>
      <w:r>
        <w:rPr>
          <w:rFonts w:ascii="Times New Roman" w:hAnsi="Times New Roman" w:eastAsia="方正仿宋_GB2312"/>
          <w:sz w:val="28"/>
        </w:rPr>
        <w:t>向乙方支付违约金，逾期超过</w:t>
      </w:r>
      <w:r>
        <w:rPr>
          <w:rFonts w:ascii="Times New Roman" w:hAnsi="Times New Roman" w:eastAsia="方正仿宋_GB2312"/>
          <w:sz w:val="28"/>
          <w:u w:val="single"/>
        </w:rPr>
        <w:t>30</w:t>
      </w:r>
      <w:r>
        <w:rPr>
          <w:rFonts w:ascii="Times New Roman" w:hAnsi="Times New Roman" w:eastAsia="方正仿宋_GB2312"/>
          <w:sz w:val="28"/>
        </w:rPr>
        <w:t>日的，乙方有权解除合同，要求甲方退回</w:t>
      </w:r>
      <w:r>
        <w:rPr>
          <w:rFonts w:hint="eastAsia" w:ascii="Times New Roman" w:hAnsi="Times New Roman" w:eastAsia="方正仿宋_GB2312"/>
          <w:sz w:val="28"/>
        </w:rPr>
        <w:t>未办理产权变更车辆或未办理机动车注销报废车辆所对应的交易</w:t>
      </w:r>
      <w:r>
        <w:rPr>
          <w:rFonts w:ascii="Times New Roman" w:hAnsi="Times New Roman" w:eastAsia="方正仿宋_GB2312"/>
          <w:sz w:val="28"/>
        </w:rPr>
        <w:t>款项，并赔偿损失。</w:t>
      </w:r>
    </w:p>
    <w:p w14:paraId="5A3C4C06">
      <w:pPr>
        <w:wordWrap w:val="0"/>
        <w:adjustRightInd w:val="0"/>
        <w:snapToGrid w:val="0"/>
        <w:spacing w:line="520" w:lineRule="exact"/>
        <w:ind w:firstLine="624"/>
        <w:rPr>
          <w:rFonts w:ascii="Times New Roman" w:hAnsi="Times New Roman" w:eastAsia="方正仿宋_GB2312"/>
          <w:sz w:val="28"/>
        </w:rPr>
      </w:pPr>
      <w:r>
        <w:rPr>
          <w:rFonts w:ascii="Times New Roman" w:hAnsi="Times New Roman" w:eastAsia="方正仿宋_GB2312"/>
          <w:sz w:val="28"/>
        </w:rPr>
        <w:t>8.3本合同任何一方若违反本合同约定的义务和承诺，给另一方造成损失的，应当承担赔偿责任；若违约方的行为对产权交易标的或标的企业造成重大不利影响，致使本合同目的无法实现的，守约方有权解除合同，并要求违约方赔偿损失。</w:t>
      </w:r>
    </w:p>
    <w:p w14:paraId="7B61423A">
      <w:pPr>
        <w:wordWrap w:val="0"/>
        <w:adjustRightInd w:val="0"/>
        <w:snapToGrid w:val="0"/>
        <w:spacing w:line="520" w:lineRule="exact"/>
        <w:ind w:firstLine="624"/>
        <w:rPr>
          <w:rFonts w:ascii="Times New Roman" w:hAnsi="Times New Roman" w:eastAsia="方正仿宋_GB2312"/>
          <w:sz w:val="28"/>
        </w:rPr>
      </w:pPr>
      <w:r>
        <w:rPr>
          <w:rFonts w:ascii="Times New Roman" w:hAnsi="Times New Roman" w:eastAsia="方正仿宋_GB2312"/>
          <w:sz w:val="28"/>
        </w:rPr>
        <w:t>8.4由于一方的过错造成本合同不能履行、不能完全履行或被政府有关部门认定为无效时，由过错的一方承担违约责任，应向长沙联交所或其他第三方支付的费用由过错方承担，双方均有过错的，则由双方按责任大小承担各自相应的责任。</w:t>
      </w:r>
    </w:p>
    <w:p w14:paraId="724B8CC1">
      <w:pPr>
        <w:wordWrap w:val="0"/>
        <w:adjustRightInd w:val="0"/>
        <w:snapToGrid w:val="0"/>
        <w:spacing w:line="520" w:lineRule="exact"/>
        <w:ind w:firstLine="624"/>
        <w:rPr>
          <w:rFonts w:ascii="方正黑体_GBK" w:hAnsi="方正黑体_GBK" w:eastAsia="方正黑体_GBK" w:cs="方正黑体_GBK"/>
          <w:sz w:val="28"/>
        </w:rPr>
      </w:pPr>
      <w:r>
        <w:rPr>
          <w:rFonts w:ascii="方正黑体_GBK" w:hAnsi="方正黑体_GBK" w:eastAsia="方正黑体_GBK" w:cs="方正黑体_GBK"/>
          <w:sz w:val="28"/>
        </w:rPr>
        <w:t>第九条　合同的变更和解除</w:t>
      </w:r>
    </w:p>
    <w:p w14:paraId="00831B93">
      <w:pPr>
        <w:wordWrap w:val="0"/>
        <w:adjustRightInd w:val="0"/>
        <w:snapToGrid w:val="0"/>
        <w:spacing w:line="520" w:lineRule="exact"/>
        <w:ind w:firstLine="624"/>
        <w:rPr>
          <w:rFonts w:ascii="Times New Roman" w:hAnsi="Times New Roman" w:eastAsia="方正仿宋_GB2312"/>
          <w:sz w:val="28"/>
        </w:rPr>
      </w:pPr>
      <w:r>
        <w:rPr>
          <w:rFonts w:ascii="Times New Roman" w:hAnsi="Times New Roman" w:eastAsia="方正仿宋_GB2312"/>
          <w:sz w:val="28"/>
        </w:rPr>
        <w:t>9.1甲、乙双方按照规定协商一致，可以变更或解除本合同。</w:t>
      </w:r>
    </w:p>
    <w:p w14:paraId="494FB10C">
      <w:pPr>
        <w:wordWrap w:val="0"/>
        <w:adjustRightInd w:val="0"/>
        <w:snapToGrid w:val="0"/>
        <w:spacing w:line="520" w:lineRule="exact"/>
        <w:ind w:firstLine="624"/>
        <w:rPr>
          <w:rFonts w:ascii="Times New Roman" w:hAnsi="Times New Roman" w:eastAsia="方正仿宋_GB2312"/>
          <w:sz w:val="28"/>
        </w:rPr>
      </w:pPr>
      <w:r>
        <w:rPr>
          <w:rFonts w:ascii="Times New Roman" w:hAnsi="Times New Roman" w:eastAsia="方正仿宋_GB2312"/>
          <w:sz w:val="28"/>
        </w:rPr>
        <w:t>9.2出现本合同第</w:t>
      </w:r>
      <w:r>
        <w:rPr>
          <w:rFonts w:hint="eastAsia" w:ascii="Times New Roman" w:hAnsi="Times New Roman" w:eastAsia="方正仿宋_GB2312"/>
          <w:sz w:val="28"/>
          <w:lang w:val="en-US" w:eastAsia="zh-CN"/>
        </w:rPr>
        <w:t>八</w:t>
      </w:r>
      <w:r>
        <w:rPr>
          <w:rFonts w:ascii="Times New Roman" w:hAnsi="Times New Roman" w:eastAsia="方正仿宋_GB2312"/>
          <w:sz w:val="28"/>
        </w:rPr>
        <w:t>条所述违约情形或一方丧失实际履约能力的，守约方可以解除本合同。</w:t>
      </w:r>
    </w:p>
    <w:p w14:paraId="2862A22A">
      <w:pPr>
        <w:wordWrap w:val="0"/>
        <w:adjustRightInd w:val="0"/>
        <w:snapToGrid w:val="0"/>
        <w:spacing w:line="520" w:lineRule="exact"/>
        <w:ind w:firstLine="624"/>
        <w:rPr>
          <w:rFonts w:ascii="Times New Roman" w:hAnsi="Times New Roman" w:eastAsia="方正仿宋_GB2312"/>
          <w:sz w:val="28"/>
        </w:rPr>
      </w:pPr>
      <w:r>
        <w:rPr>
          <w:rFonts w:ascii="Times New Roman" w:hAnsi="Times New Roman" w:eastAsia="方正仿宋_GB2312"/>
          <w:sz w:val="28"/>
        </w:rPr>
        <w:t>9.3由于不可抗力或不可归责于双方的原因致使本合同目的无法实现的，一方可解除本合同，甲方应将乙方的已付款项全额无息返回给乙方，双方互不负违约责任，应向长沙联交所或其他第三方支付的费用由双方各自承担。</w:t>
      </w:r>
    </w:p>
    <w:p w14:paraId="1FA288B0">
      <w:pPr>
        <w:wordWrap w:val="0"/>
        <w:adjustRightInd w:val="0"/>
        <w:snapToGrid w:val="0"/>
        <w:spacing w:line="520" w:lineRule="exact"/>
        <w:ind w:firstLine="624"/>
        <w:rPr>
          <w:rFonts w:ascii="Times New Roman" w:hAnsi="Times New Roman" w:eastAsia="方正仿宋_GB2312"/>
          <w:sz w:val="28"/>
        </w:rPr>
      </w:pPr>
      <w:r>
        <w:rPr>
          <w:rFonts w:ascii="Times New Roman" w:hAnsi="Times New Roman" w:eastAsia="方正仿宋_GB2312"/>
          <w:sz w:val="28"/>
        </w:rPr>
        <w:t>9.4本合同解除或变更合同主要条款的，长沙联交所出具的产权交易凭证失效，甲、乙双方需将合同解除或变更的事项通知长沙联交所，并将产权交易凭证交还长沙联交所。</w:t>
      </w:r>
    </w:p>
    <w:p w14:paraId="307C3358">
      <w:pPr>
        <w:wordWrap w:val="0"/>
        <w:adjustRightInd w:val="0"/>
        <w:snapToGrid w:val="0"/>
        <w:spacing w:line="520" w:lineRule="exact"/>
        <w:ind w:firstLine="624"/>
        <w:rPr>
          <w:rFonts w:ascii="方正黑体_GBK" w:hAnsi="方正黑体_GBK" w:eastAsia="方正黑体_GBK" w:cs="方正黑体_GBK"/>
          <w:sz w:val="28"/>
        </w:rPr>
      </w:pPr>
      <w:r>
        <w:rPr>
          <w:rFonts w:ascii="方正黑体_GBK" w:hAnsi="方正黑体_GBK" w:eastAsia="方正黑体_GBK" w:cs="方正黑体_GBK"/>
          <w:sz w:val="28"/>
        </w:rPr>
        <w:t>第十条　争议的解决方式</w:t>
      </w:r>
    </w:p>
    <w:p w14:paraId="71644A69">
      <w:pPr>
        <w:wordWrap w:val="0"/>
        <w:adjustRightInd w:val="0"/>
        <w:snapToGrid w:val="0"/>
        <w:spacing w:line="520" w:lineRule="exact"/>
        <w:ind w:firstLine="624"/>
        <w:rPr>
          <w:rFonts w:ascii="Times New Roman" w:hAnsi="Times New Roman" w:eastAsia="方正仿宋_GB2312"/>
          <w:sz w:val="28"/>
        </w:rPr>
      </w:pPr>
      <w:r>
        <w:rPr>
          <w:rFonts w:ascii="Times New Roman" w:hAnsi="Times New Roman" w:eastAsia="方正仿宋_GB2312"/>
          <w:sz w:val="28"/>
        </w:rPr>
        <w:t>10.1本合同及产权交易中的行为均适用中华人民共和国法律。</w:t>
      </w:r>
    </w:p>
    <w:p w14:paraId="034A9BEE">
      <w:pPr>
        <w:wordWrap w:val="0"/>
        <w:adjustRightInd w:val="0"/>
        <w:snapToGrid w:val="0"/>
        <w:spacing w:line="520" w:lineRule="exact"/>
        <w:ind w:firstLine="624"/>
        <w:rPr>
          <w:rFonts w:ascii="Times New Roman" w:hAnsi="Times New Roman" w:eastAsia="方正仿宋_GB2312"/>
          <w:sz w:val="28"/>
        </w:rPr>
      </w:pPr>
      <w:r>
        <w:rPr>
          <w:rFonts w:ascii="Times New Roman" w:hAnsi="Times New Roman" w:eastAsia="方正仿宋_GB2312"/>
          <w:sz w:val="28"/>
        </w:rPr>
        <w:t>10.2甲、乙双方之间发生争议的，可以协商解决，也可向</w:t>
      </w:r>
      <w:r>
        <w:rPr>
          <w:rFonts w:ascii="Times New Roman" w:hAnsi="Times New Roman" w:eastAsia="方正仿宋_GB2312"/>
          <w:sz w:val="28"/>
          <w:szCs w:val="28"/>
        </w:rPr>
        <w:t>长沙联交所</w:t>
      </w:r>
      <w:r>
        <w:rPr>
          <w:rFonts w:ascii="Times New Roman" w:hAnsi="Times New Roman" w:eastAsia="方正仿宋_GB2312"/>
          <w:sz w:val="28"/>
        </w:rPr>
        <w:t>申请调解，协商或调解不成的</w:t>
      </w:r>
      <w:r>
        <w:rPr>
          <w:rFonts w:hint="eastAsia" w:ascii="Times New Roman" w:hAnsi="Times New Roman" w:eastAsia="方正仿宋_GB2312"/>
          <w:sz w:val="28"/>
        </w:rPr>
        <w:t>按</w:t>
      </w:r>
      <w:r>
        <w:rPr>
          <w:rFonts w:ascii="Times New Roman" w:hAnsi="Times New Roman" w:eastAsia="方正仿宋_GB2312"/>
          <w:sz w:val="28"/>
        </w:rPr>
        <w:t>以下第</w:t>
      </w:r>
      <w:r>
        <w:rPr>
          <w:rFonts w:hint="eastAsia" w:ascii="Times New Roman" w:hAnsi="Times New Roman" w:eastAsia="方正仿宋_GB2312"/>
          <w:sz w:val="28"/>
          <w:u w:val="single"/>
        </w:rPr>
        <w:t xml:space="preserve"> </w:t>
      </w:r>
      <w:r>
        <w:rPr>
          <w:rFonts w:ascii="Times New Roman" w:hAnsi="Times New Roman" w:eastAsia="方正仿宋_GB2312"/>
          <w:sz w:val="28"/>
          <w:u w:val="single"/>
        </w:rPr>
        <w:t>2</w:t>
      </w:r>
      <w:r>
        <w:rPr>
          <w:rFonts w:hint="eastAsia" w:ascii="Times New Roman" w:hAnsi="Times New Roman" w:eastAsia="方正仿宋_GB2312"/>
          <w:sz w:val="28"/>
          <w:u w:val="single"/>
        </w:rPr>
        <w:t xml:space="preserve"> </w:t>
      </w:r>
      <w:r>
        <w:rPr>
          <w:rFonts w:ascii="Times New Roman" w:hAnsi="Times New Roman" w:eastAsia="方正仿宋_GB2312"/>
          <w:sz w:val="28"/>
        </w:rPr>
        <w:t>种方式解决：</w:t>
      </w:r>
    </w:p>
    <w:p w14:paraId="3960F6C6">
      <w:pPr>
        <w:wordWrap w:val="0"/>
        <w:adjustRightInd w:val="0"/>
        <w:snapToGrid w:val="0"/>
        <w:spacing w:line="520" w:lineRule="exact"/>
        <w:ind w:firstLine="624"/>
        <w:rPr>
          <w:rFonts w:ascii="Times New Roman" w:hAnsi="Times New Roman" w:eastAsia="方正仿宋_GB2312"/>
          <w:sz w:val="28"/>
        </w:rPr>
      </w:pPr>
      <w:r>
        <w:rPr>
          <w:rFonts w:ascii="Times New Roman" w:hAnsi="Times New Roman" w:eastAsia="方正仿宋_GB2312"/>
          <w:sz w:val="28"/>
        </w:rPr>
        <w:t>1．提交长沙仲裁委员会仲裁。</w:t>
      </w:r>
    </w:p>
    <w:p w14:paraId="2DF93A89">
      <w:pPr>
        <w:wordWrap w:val="0"/>
        <w:adjustRightInd w:val="0"/>
        <w:snapToGrid w:val="0"/>
        <w:spacing w:line="520" w:lineRule="exact"/>
        <w:ind w:firstLine="624"/>
        <w:rPr>
          <w:rFonts w:ascii="Times New Roman" w:hAnsi="Times New Roman" w:eastAsia="方正仿宋_GB2312"/>
          <w:sz w:val="28"/>
        </w:rPr>
      </w:pPr>
      <w:r>
        <w:rPr>
          <w:rFonts w:ascii="Times New Roman" w:hAnsi="Times New Roman" w:eastAsia="方正仿宋_GB2312"/>
          <w:sz w:val="28"/>
        </w:rPr>
        <w:t>2．依法向</w:t>
      </w:r>
      <w:r>
        <w:rPr>
          <w:rFonts w:ascii="Times New Roman" w:hAnsi="Times New Roman" w:eastAsia="方正仿宋_GB2312"/>
          <w:sz w:val="28"/>
          <w:u w:val="single"/>
        </w:rPr>
        <w:t>甲方</w:t>
      </w:r>
      <w:r>
        <w:rPr>
          <w:rFonts w:hint="eastAsia" w:ascii="Times New Roman" w:hAnsi="Times New Roman" w:eastAsia="方正仿宋_GB2312"/>
          <w:sz w:val="28"/>
          <w:u w:val="single"/>
        </w:rPr>
        <w:t>住所</w:t>
      </w:r>
      <w:r>
        <w:rPr>
          <w:rFonts w:ascii="Times New Roman" w:hAnsi="Times New Roman" w:eastAsia="方正仿宋_GB2312"/>
          <w:sz w:val="28"/>
          <w:u w:val="single"/>
        </w:rPr>
        <w:t>地</w:t>
      </w:r>
      <w:r>
        <w:rPr>
          <w:rFonts w:ascii="Times New Roman" w:hAnsi="Times New Roman" w:eastAsia="方正仿宋_GB2312"/>
          <w:sz w:val="28"/>
        </w:rPr>
        <w:t>人民法院起诉。</w:t>
      </w:r>
    </w:p>
    <w:p w14:paraId="32A4092F">
      <w:pPr>
        <w:wordWrap w:val="0"/>
        <w:adjustRightInd w:val="0"/>
        <w:snapToGrid w:val="0"/>
        <w:spacing w:line="520" w:lineRule="exact"/>
        <w:ind w:firstLine="624"/>
        <w:rPr>
          <w:rFonts w:ascii="方正黑体_GBK" w:hAnsi="方正黑体_GBK" w:eastAsia="方正黑体_GBK" w:cs="方正黑体_GBK"/>
          <w:sz w:val="28"/>
        </w:rPr>
      </w:pPr>
      <w:r>
        <w:rPr>
          <w:rFonts w:ascii="方正黑体_GBK" w:hAnsi="方正黑体_GBK" w:eastAsia="方正黑体_GBK" w:cs="方正黑体_GBK"/>
          <w:sz w:val="28"/>
        </w:rPr>
        <w:t>第十一条　附则</w:t>
      </w:r>
    </w:p>
    <w:p w14:paraId="4FB92DAA">
      <w:pPr>
        <w:wordWrap w:val="0"/>
        <w:adjustRightInd w:val="0"/>
        <w:snapToGrid w:val="0"/>
        <w:spacing w:line="520" w:lineRule="exact"/>
        <w:ind w:firstLine="624"/>
        <w:rPr>
          <w:rFonts w:ascii="Times New Roman" w:hAnsi="Times New Roman" w:eastAsia="方正仿宋_GB2312"/>
          <w:sz w:val="28"/>
        </w:rPr>
      </w:pPr>
      <w:r>
        <w:rPr>
          <w:rFonts w:ascii="Times New Roman" w:hAnsi="Times New Roman" w:eastAsia="方正仿宋_GB2312"/>
          <w:sz w:val="28"/>
        </w:rPr>
        <w:t>11.1除依法律、行政法规规定需要报审批机构批准后生效的情形以外，本合同自甲、乙双方</w:t>
      </w:r>
      <w:r>
        <w:rPr>
          <w:rFonts w:hint="eastAsia" w:ascii="Times New Roman" w:hAnsi="Times New Roman" w:eastAsia="方正仿宋_GB2312"/>
          <w:sz w:val="28"/>
        </w:rPr>
        <w:t>法定代表人（授权代表）</w:t>
      </w:r>
      <w:r>
        <w:rPr>
          <w:rFonts w:ascii="Times New Roman" w:hAnsi="Times New Roman" w:eastAsia="方正仿宋_GB2312"/>
          <w:sz w:val="28"/>
        </w:rPr>
        <w:t>签字盖章之日起生效。长沙联交所审核鉴证合同中有关挂牌程序的合规性，但不因审核鉴证而转移法律责任；如发生纠纷，长沙联交所不承担任何责任。</w:t>
      </w:r>
    </w:p>
    <w:p w14:paraId="57AEE615">
      <w:pPr>
        <w:wordWrap w:val="0"/>
        <w:adjustRightInd w:val="0"/>
        <w:snapToGrid w:val="0"/>
        <w:spacing w:line="520" w:lineRule="exact"/>
        <w:ind w:firstLine="624"/>
        <w:rPr>
          <w:rFonts w:ascii="Times New Roman" w:hAnsi="Times New Roman" w:eastAsia="方正仿宋_GB2312"/>
          <w:sz w:val="28"/>
        </w:rPr>
      </w:pPr>
      <w:r>
        <w:rPr>
          <w:rFonts w:ascii="Times New Roman" w:hAnsi="Times New Roman" w:eastAsia="方正仿宋_GB2312"/>
          <w:sz w:val="28"/>
        </w:rPr>
        <w:t>11.2乙方在受让转让标的的过程中依照产权转让信息披露公告要求，递交的承诺函等文件（如有）为本合同不可分割的组成部分，与本合同具有同等法律效力。</w:t>
      </w:r>
    </w:p>
    <w:p w14:paraId="39408FD4">
      <w:pPr>
        <w:wordWrap w:val="0"/>
        <w:adjustRightInd w:val="0"/>
        <w:snapToGrid w:val="0"/>
        <w:spacing w:line="520" w:lineRule="exact"/>
        <w:ind w:firstLine="624"/>
        <w:rPr>
          <w:rFonts w:ascii="Times New Roman" w:hAnsi="Times New Roman" w:eastAsia="方正仿宋_GB2312"/>
          <w:sz w:val="28"/>
        </w:rPr>
      </w:pPr>
      <w:r>
        <w:rPr>
          <w:rFonts w:ascii="Times New Roman" w:hAnsi="Times New Roman" w:eastAsia="方正仿宋_GB2312"/>
          <w:sz w:val="28"/>
        </w:rPr>
        <w:t>11.3本合同未尽事宜，由交易双方协商议定，签订补充合同，并提交长沙联交所备案。补充合同经本合同双方签字盖章后与本合同具有同等法律效力。</w:t>
      </w:r>
    </w:p>
    <w:p w14:paraId="38578EE6">
      <w:pPr>
        <w:wordWrap w:val="0"/>
        <w:adjustRightInd w:val="0"/>
        <w:snapToGrid w:val="0"/>
        <w:spacing w:line="520" w:lineRule="exact"/>
        <w:ind w:firstLine="624"/>
        <w:rPr>
          <w:rFonts w:ascii="Times New Roman" w:hAnsi="Times New Roman" w:eastAsia="方正仿宋_GB2312"/>
          <w:sz w:val="28"/>
        </w:rPr>
      </w:pPr>
      <w:r>
        <w:rPr>
          <w:rFonts w:ascii="Times New Roman" w:hAnsi="Times New Roman" w:eastAsia="方正仿宋_GB2312"/>
          <w:sz w:val="28"/>
        </w:rPr>
        <w:t xml:space="preserve">11.4 双方确认本合同载明地址为有效送达地址。如直接送达，以对方签收时间视为接收时间；如以邮递形式送达，以邮戳时间视为接收时间；如以传真形式送达，则以传真机显示时间为接收时间。 </w:t>
      </w:r>
    </w:p>
    <w:p w14:paraId="355B006F">
      <w:pPr>
        <w:wordWrap w:val="0"/>
        <w:adjustRightInd w:val="0"/>
        <w:snapToGrid w:val="0"/>
        <w:spacing w:line="520" w:lineRule="exact"/>
        <w:ind w:firstLine="624"/>
        <w:rPr>
          <w:rFonts w:ascii="Times New Roman" w:hAnsi="Times New Roman" w:eastAsia="方正仿宋_GB2312"/>
          <w:sz w:val="28"/>
        </w:rPr>
      </w:pPr>
      <w:r>
        <w:rPr>
          <w:rFonts w:ascii="Times New Roman" w:hAnsi="Times New Roman" w:eastAsia="方正仿宋_GB2312"/>
          <w:sz w:val="28"/>
        </w:rPr>
        <w:t>11.5 如一方在合同所载明的通信地址发生变更应在三日内书面通知合同相对方，如未通知则合同所载明的地址视为有效送达地址，一方在向另一方送达与合同有关的书面文件时，在按有效地址采取快递方式邮寄后，被本人签收、他人代收、被拒收或退回之日均为有效送达之日，如诉至法院，双方均同意法院按本条款约定方式送达。</w:t>
      </w:r>
    </w:p>
    <w:p w14:paraId="60100CF2">
      <w:pPr>
        <w:wordWrap w:val="0"/>
        <w:adjustRightInd w:val="0"/>
        <w:snapToGrid w:val="0"/>
        <w:spacing w:line="520" w:lineRule="exact"/>
        <w:ind w:firstLine="624"/>
        <w:rPr>
          <w:rFonts w:ascii="Times New Roman" w:hAnsi="Times New Roman" w:eastAsia="方正仿宋_GB2312"/>
          <w:sz w:val="28"/>
        </w:rPr>
      </w:pPr>
      <w:r>
        <w:rPr>
          <w:rFonts w:ascii="Times New Roman" w:hAnsi="Times New Roman" w:eastAsia="方正仿宋_GB2312"/>
          <w:sz w:val="28"/>
        </w:rPr>
        <w:t>11.6</w:t>
      </w:r>
      <w:r>
        <w:rPr>
          <w:rFonts w:hint="eastAsia" w:ascii="Times New Roman" w:hAnsi="Times New Roman" w:eastAsia="方正仿宋_GB2312"/>
          <w:sz w:val="28"/>
        </w:rPr>
        <w:t>本合同一式伍份，甲、乙双方各执两份，均具有同等法律效力，长沙联交所留存壹份用于备案，其余用于办理产权交易的审批、登记手续</w:t>
      </w:r>
      <w:r>
        <w:rPr>
          <w:rFonts w:ascii="Times New Roman" w:hAnsi="Times New Roman" w:eastAsia="方正仿宋_GB2312"/>
          <w:sz w:val="28"/>
        </w:rPr>
        <w:t>。</w:t>
      </w:r>
    </w:p>
    <w:tbl>
      <w:tblPr>
        <w:tblStyle w:val="5"/>
        <w:tblW w:w="8845" w:type="dxa"/>
        <w:jc w:val="center"/>
        <w:tblLayout w:type="autofit"/>
        <w:tblCellMar>
          <w:top w:w="85" w:type="dxa"/>
          <w:left w:w="0" w:type="dxa"/>
          <w:bottom w:w="85" w:type="dxa"/>
          <w:right w:w="0" w:type="dxa"/>
        </w:tblCellMar>
      </w:tblPr>
      <w:tblGrid>
        <w:gridCol w:w="4423"/>
        <w:gridCol w:w="4422"/>
      </w:tblGrid>
      <w:tr w14:paraId="2E4771F0">
        <w:tblPrEx>
          <w:tblCellMar>
            <w:top w:w="85" w:type="dxa"/>
            <w:left w:w="0" w:type="dxa"/>
            <w:bottom w:w="85" w:type="dxa"/>
            <w:right w:w="0" w:type="dxa"/>
          </w:tblCellMar>
        </w:tblPrEx>
        <w:trPr>
          <w:trHeight w:val="397" w:hRule="atLeast"/>
          <w:jc w:val="center"/>
        </w:trPr>
        <w:tc>
          <w:tcPr>
            <w:tcW w:w="4423" w:type="dxa"/>
          </w:tcPr>
          <w:p w14:paraId="30DF71A9">
            <w:pPr>
              <w:adjustRightInd w:val="0"/>
              <w:snapToGrid w:val="0"/>
              <w:spacing w:line="520" w:lineRule="exact"/>
              <w:rPr>
                <w:rFonts w:ascii="仿宋" w:hAnsi="仿宋" w:eastAsia="仿宋" w:cs="仿宋"/>
                <w:spacing w:val="-24"/>
                <w:sz w:val="28"/>
                <w:szCs w:val="28"/>
              </w:rPr>
            </w:pPr>
            <w:r>
              <w:rPr>
                <w:rFonts w:hint="eastAsia" w:ascii="仿宋" w:hAnsi="仿宋" w:eastAsia="仿宋" w:cs="仿宋"/>
                <w:spacing w:val="-24"/>
                <w:sz w:val="28"/>
                <w:szCs w:val="28"/>
              </w:rPr>
              <w:t>甲方（转让方）：</w:t>
            </w:r>
          </w:p>
          <w:p w14:paraId="1E90495D">
            <w:pPr>
              <w:adjustRightInd w:val="0"/>
              <w:snapToGrid w:val="0"/>
              <w:spacing w:line="520" w:lineRule="exact"/>
              <w:rPr>
                <w:rFonts w:ascii="仿宋" w:hAnsi="仿宋" w:eastAsia="仿宋" w:cs="仿宋"/>
                <w:sz w:val="28"/>
                <w:szCs w:val="28"/>
              </w:rPr>
            </w:pPr>
            <w:r>
              <w:rPr>
                <w:rFonts w:hint="eastAsia" w:ascii="仿宋" w:hAnsi="仿宋" w:eastAsia="仿宋" w:cs="仿宋"/>
                <w:spacing w:val="-24"/>
                <w:sz w:val="28"/>
                <w:szCs w:val="28"/>
              </w:rPr>
              <w:t>（ 盖　章</w:t>
            </w:r>
            <w:r>
              <w:rPr>
                <w:rFonts w:hint="eastAsia" w:ascii="仿宋" w:hAnsi="仿宋" w:eastAsia="仿宋" w:cs="仿宋"/>
                <w:sz w:val="28"/>
                <w:szCs w:val="28"/>
              </w:rPr>
              <w:t>）</w:t>
            </w:r>
          </w:p>
        </w:tc>
        <w:tc>
          <w:tcPr>
            <w:tcW w:w="4422" w:type="dxa"/>
          </w:tcPr>
          <w:p w14:paraId="2BA7D30B">
            <w:pPr>
              <w:adjustRightInd w:val="0"/>
              <w:snapToGrid w:val="0"/>
              <w:spacing w:line="520" w:lineRule="exact"/>
              <w:rPr>
                <w:rFonts w:ascii="仿宋" w:hAnsi="仿宋" w:eastAsia="仿宋" w:cs="仿宋"/>
                <w:spacing w:val="-24"/>
                <w:sz w:val="28"/>
                <w:szCs w:val="28"/>
              </w:rPr>
            </w:pPr>
            <w:r>
              <w:rPr>
                <w:rFonts w:hint="eastAsia" w:ascii="仿宋" w:hAnsi="仿宋" w:eastAsia="仿宋" w:cs="仿宋"/>
                <w:spacing w:val="-24"/>
                <w:sz w:val="28"/>
                <w:szCs w:val="28"/>
              </w:rPr>
              <w:t>乙方（受让方）：</w:t>
            </w:r>
          </w:p>
          <w:p w14:paraId="67B3EAD3">
            <w:pPr>
              <w:adjustRightInd w:val="0"/>
              <w:snapToGrid w:val="0"/>
              <w:spacing w:line="520" w:lineRule="exact"/>
              <w:ind w:firstLine="232" w:firstLineChars="100"/>
              <w:rPr>
                <w:rFonts w:ascii="仿宋" w:hAnsi="仿宋" w:eastAsia="仿宋" w:cs="仿宋"/>
                <w:sz w:val="28"/>
                <w:szCs w:val="28"/>
              </w:rPr>
            </w:pPr>
            <w:r>
              <w:rPr>
                <w:rFonts w:hint="eastAsia" w:ascii="仿宋" w:hAnsi="仿宋" w:eastAsia="仿宋" w:cs="仿宋"/>
                <w:spacing w:val="-24"/>
                <w:sz w:val="28"/>
                <w:szCs w:val="28"/>
              </w:rPr>
              <w:t>（盖　章</w:t>
            </w:r>
            <w:r>
              <w:rPr>
                <w:rFonts w:hint="eastAsia" w:ascii="仿宋" w:hAnsi="仿宋" w:eastAsia="仿宋" w:cs="仿宋"/>
                <w:sz w:val="28"/>
                <w:szCs w:val="28"/>
              </w:rPr>
              <w:t>）</w:t>
            </w:r>
          </w:p>
        </w:tc>
      </w:tr>
      <w:tr w14:paraId="42A6DDC5">
        <w:tblPrEx>
          <w:tblCellMar>
            <w:top w:w="85" w:type="dxa"/>
            <w:left w:w="0" w:type="dxa"/>
            <w:bottom w:w="85" w:type="dxa"/>
            <w:right w:w="0" w:type="dxa"/>
          </w:tblCellMar>
        </w:tblPrEx>
        <w:trPr>
          <w:trHeight w:val="397" w:hRule="atLeast"/>
          <w:jc w:val="center"/>
        </w:trPr>
        <w:tc>
          <w:tcPr>
            <w:tcW w:w="4423" w:type="dxa"/>
          </w:tcPr>
          <w:p w14:paraId="3438974F">
            <w:pPr>
              <w:adjustRightInd w:val="0"/>
              <w:snapToGrid w:val="0"/>
              <w:spacing w:line="520" w:lineRule="exact"/>
              <w:rPr>
                <w:rFonts w:ascii="仿宋" w:hAnsi="仿宋" w:eastAsia="仿宋" w:cs="仿宋"/>
                <w:sz w:val="28"/>
                <w:szCs w:val="28"/>
              </w:rPr>
            </w:pPr>
            <w:r>
              <w:rPr>
                <w:rFonts w:hint="eastAsia" w:ascii="仿宋" w:hAnsi="仿宋" w:eastAsia="仿宋" w:cs="仿宋"/>
                <w:sz w:val="28"/>
                <w:szCs w:val="28"/>
              </w:rPr>
              <w:t>法定代表人：</w:t>
            </w:r>
          </w:p>
          <w:p w14:paraId="412C34A3">
            <w:pPr>
              <w:adjustRightInd w:val="0"/>
              <w:snapToGrid w:val="0"/>
              <w:spacing w:line="520" w:lineRule="exact"/>
              <w:ind w:left="-113"/>
              <w:rPr>
                <w:rFonts w:ascii="仿宋" w:hAnsi="仿宋" w:eastAsia="仿宋" w:cs="仿宋"/>
                <w:spacing w:val="-28"/>
                <w:sz w:val="28"/>
                <w:szCs w:val="28"/>
              </w:rPr>
            </w:pPr>
            <w:r>
              <w:rPr>
                <w:rFonts w:hint="eastAsia" w:ascii="仿宋" w:hAnsi="仿宋" w:eastAsia="仿宋" w:cs="仿宋"/>
                <w:spacing w:val="-28"/>
                <w:sz w:val="28"/>
                <w:szCs w:val="28"/>
              </w:rPr>
              <w:t>（签字或盖章）</w:t>
            </w:r>
          </w:p>
        </w:tc>
        <w:tc>
          <w:tcPr>
            <w:tcW w:w="4422" w:type="dxa"/>
          </w:tcPr>
          <w:p w14:paraId="6DA6CE22">
            <w:pPr>
              <w:adjustRightInd w:val="0"/>
              <w:snapToGrid w:val="0"/>
              <w:spacing w:line="520" w:lineRule="exact"/>
              <w:rPr>
                <w:rFonts w:ascii="仿宋" w:hAnsi="仿宋" w:eastAsia="仿宋" w:cs="仿宋"/>
                <w:sz w:val="28"/>
                <w:szCs w:val="28"/>
              </w:rPr>
            </w:pPr>
            <w:r>
              <w:rPr>
                <w:rFonts w:hint="eastAsia" w:ascii="仿宋" w:hAnsi="仿宋" w:eastAsia="仿宋" w:cs="仿宋"/>
                <w:sz w:val="28"/>
                <w:szCs w:val="28"/>
              </w:rPr>
              <w:t>法定代表人：</w:t>
            </w:r>
          </w:p>
          <w:p w14:paraId="77963560">
            <w:pPr>
              <w:adjustRightInd w:val="0"/>
              <w:snapToGrid w:val="0"/>
              <w:spacing w:line="520" w:lineRule="exact"/>
              <w:ind w:left="-113"/>
              <w:rPr>
                <w:rFonts w:ascii="仿宋" w:hAnsi="仿宋" w:eastAsia="仿宋" w:cs="仿宋"/>
                <w:spacing w:val="-24"/>
                <w:sz w:val="28"/>
                <w:szCs w:val="28"/>
              </w:rPr>
            </w:pPr>
            <w:r>
              <w:rPr>
                <w:rFonts w:hint="eastAsia" w:ascii="仿宋" w:hAnsi="仿宋" w:eastAsia="仿宋" w:cs="仿宋"/>
                <w:spacing w:val="-28"/>
                <w:sz w:val="28"/>
                <w:szCs w:val="28"/>
              </w:rPr>
              <w:t>（签字或盖章）</w:t>
            </w:r>
          </w:p>
        </w:tc>
      </w:tr>
      <w:tr w14:paraId="3EA72637">
        <w:tblPrEx>
          <w:tblCellMar>
            <w:top w:w="85" w:type="dxa"/>
            <w:left w:w="0" w:type="dxa"/>
            <w:bottom w:w="85" w:type="dxa"/>
            <w:right w:w="0" w:type="dxa"/>
          </w:tblCellMar>
        </w:tblPrEx>
        <w:trPr>
          <w:trHeight w:val="397" w:hRule="atLeast"/>
          <w:jc w:val="center"/>
        </w:trPr>
        <w:tc>
          <w:tcPr>
            <w:tcW w:w="4423" w:type="dxa"/>
          </w:tcPr>
          <w:p w14:paraId="4CA2E71D">
            <w:pPr>
              <w:adjustRightInd w:val="0"/>
              <w:snapToGrid w:val="0"/>
              <w:spacing w:line="520" w:lineRule="exact"/>
              <w:rPr>
                <w:rFonts w:ascii="仿宋" w:hAnsi="仿宋" w:eastAsia="仿宋" w:cs="仿宋"/>
                <w:sz w:val="28"/>
                <w:szCs w:val="28"/>
              </w:rPr>
            </w:pPr>
            <w:r>
              <w:rPr>
                <w:rFonts w:hint="eastAsia" w:ascii="仿宋" w:hAnsi="仿宋" w:eastAsia="仿宋" w:cs="仿宋"/>
                <w:sz w:val="28"/>
                <w:szCs w:val="28"/>
              </w:rPr>
              <w:t>电　　话：</w:t>
            </w:r>
          </w:p>
        </w:tc>
        <w:tc>
          <w:tcPr>
            <w:tcW w:w="4422" w:type="dxa"/>
          </w:tcPr>
          <w:p w14:paraId="7D8F5D6B">
            <w:pPr>
              <w:adjustRightInd w:val="0"/>
              <w:snapToGrid w:val="0"/>
              <w:spacing w:line="520" w:lineRule="exact"/>
              <w:rPr>
                <w:rFonts w:ascii="仿宋" w:hAnsi="仿宋" w:eastAsia="仿宋" w:cs="仿宋"/>
                <w:sz w:val="28"/>
                <w:szCs w:val="28"/>
              </w:rPr>
            </w:pPr>
            <w:r>
              <w:rPr>
                <w:rFonts w:hint="eastAsia" w:ascii="仿宋" w:hAnsi="仿宋" w:eastAsia="仿宋" w:cs="仿宋"/>
                <w:sz w:val="28"/>
                <w:szCs w:val="28"/>
              </w:rPr>
              <w:t>电　　话：</w:t>
            </w:r>
          </w:p>
        </w:tc>
      </w:tr>
      <w:tr w14:paraId="6D7FFE21">
        <w:tblPrEx>
          <w:tblCellMar>
            <w:top w:w="85" w:type="dxa"/>
            <w:left w:w="0" w:type="dxa"/>
            <w:bottom w:w="85" w:type="dxa"/>
            <w:right w:w="0" w:type="dxa"/>
          </w:tblCellMar>
        </w:tblPrEx>
        <w:trPr>
          <w:trHeight w:val="397" w:hRule="atLeast"/>
          <w:jc w:val="center"/>
        </w:trPr>
        <w:tc>
          <w:tcPr>
            <w:tcW w:w="8845" w:type="dxa"/>
            <w:gridSpan w:val="2"/>
          </w:tcPr>
          <w:p w14:paraId="08461943">
            <w:pPr>
              <w:adjustRightInd w:val="0"/>
              <w:snapToGrid w:val="0"/>
              <w:spacing w:line="520" w:lineRule="exact"/>
              <w:rPr>
                <w:rFonts w:ascii="仿宋" w:hAnsi="仿宋" w:eastAsia="仿宋" w:cs="仿宋"/>
                <w:sz w:val="28"/>
                <w:szCs w:val="28"/>
              </w:rPr>
            </w:pPr>
            <w:r>
              <w:rPr>
                <w:rFonts w:hint="eastAsia" w:ascii="仿宋" w:hAnsi="仿宋" w:eastAsia="仿宋" w:cs="仿宋"/>
                <w:sz w:val="28"/>
                <w:szCs w:val="28"/>
              </w:rPr>
              <w:t>签约地点：长沙市芙蓉区晚报大道412号</w:t>
            </w:r>
          </w:p>
        </w:tc>
      </w:tr>
      <w:tr w14:paraId="4CFFF998">
        <w:tblPrEx>
          <w:tblCellMar>
            <w:top w:w="85" w:type="dxa"/>
            <w:left w:w="0" w:type="dxa"/>
            <w:bottom w:w="85" w:type="dxa"/>
            <w:right w:w="0" w:type="dxa"/>
          </w:tblCellMar>
        </w:tblPrEx>
        <w:trPr>
          <w:trHeight w:val="397" w:hRule="atLeast"/>
          <w:jc w:val="center"/>
        </w:trPr>
        <w:tc>
          <w:tcPr>
            <w:tcW w:w="8845" w:type="dxa"/>
            <w:gridSpan w:val="2"/>
          </w:tcPr>
          <w:p w14:paraId="5B81E6A0">
            <w:pPr>
              <w:adjustRightInd w:val="0"/>
              <w:snapToGrid w:val="0"/>
              <w:spacing w:line="520" w:lineRule="exact"/>
              <w:rPr>
                <w:rFonts w:ascii="仿宋" w:hAnsi="仿宋" w:eastAsia="仿宋" w:cs="仿宋"/>
                <w:sz w:val="28"/>
                <w:szCs w:val="28"/>
              </w:rPr>
            </w:pPr>
            <w:r>
              <w:rPr>
                <w:rFonts w:hint="eastAsia" w:ascii="仿宋" w:hAnsi="仿宋" w:eastAsia="仿宋" w:cs="仿宋"/>
                <w:sz w:val="28"/>
                <w:szCs w:val="28"/>
              </w:rPr>
              <w:t>签约时间：　　 年　月　日                      年　月　日</w:t>
            </w:r>
          </w:p>
        </w:tc>
      </w:tr>
    </w:tbl>
    <w:p w14:paraId="6C40D5B4">
      <w:pPr>
        <w:pStyle w:val="7"/>
        <w:ind w:firstLine="0" w:firstLineChars="0"/>
        <w:rPr>
          <w:rFonts w:ascii="Times New Roman" w:hAnsi="Times New Roman" w:eastAsia="方正仿宋_GB2312"/>
          <w:sz w:val="28"/>
          <w:szCs w:val="24"/>
        </w:rPr>
      </w:pPr>
    </w:p>
    <w:sectPr>
      <w:pgSz w:w="11906" w:h="16838"/>
      <w:pgMar w:top="1587" w:right="1531" w:bottom="1361" w:left="153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D95F158A-1B72-4ADF-A01B-D2082ECF4668}"/>
  </w:font>
  <w:font w:name="方正小标宋简体">
    <w:panose1 w:val="03000509000000000000"/>
    <w:charset w:val="86"/>
    <w:family w:val="auto"/>
    <w:pitch w:val="default"/>
    <w:sig w:usb0="00000001" w:usb1="080E0000" w:usb2="00000000" w:usb3="00000000" w:csb0="00040000" w:csb1="00000000"/>
    <w:embedRegular r:id="rId2" w:fontKey="{940B4E98-BB05-4895-80EB-3F45CABDF0B8}"/>
  </w:font>
  <w:font w:name="华文中宋">
    <w:panose1 w:val="02010600040101010101"/>
    <w:charset w:val="86"/>
    <w:family w:val="auto"/>
    <w:pitch w:val="default"/>
    <w:sig w:usb0="00000287" w:usb1="080F0000" w:usb2="00000000" w:usb3="00000000" w:csb0="0004009F" w:csb1="DFD70000"/>
    <w:embedRegular r:id="rId3" w:fontKey="{D81B0139-1A94-4209-B75B-E12FFD96D263}"/>
  </w:font>
  <w:font w:name="仿宋_GB2312">
    <w:panose1 w:val="02010609030101010101"/>
    <w:charset w:val="86"/>
    <w:family w:val="modern"/>
    <w:pitch w:val="default"/>
    <w:sig w:usb0="00000001" w:usb1="080E0000" w:usb2="00000000" w:usb3="00000000" w:csb0="00040000" w:csb1="00000000"/>
    <w:embedRegular r:id="rId4" w:fontKey="{B868A1F1-E53A-4063-A733-EA3BCA92277E}"/>
  </w:font>
  <w:font w:name="方正小标宋_GBK">
    <w:panose1 w:val="03000509000000000000"/>
    <w:charset w:val="86"/>
    <w:family w:val="auto"/>
    <w:pitch w:val="default"/>
    <w:sig w:usb0="00000001" w:usb1="080E0000" w:usb2="00000000" w:usb3="00000000" w:csb0="00040000" w:csb1="00000000"/>
    <w:embedRegular r:id="rId5" w:fontKey="{5B474399-5A3C-403A-A3F9-2A7E34DF871A}"/>
  </w:font>
  <w:font w:name="方正仿宋_GB2312">
    <w:panose1 w:val="02000000000000000000"/>
    <w:charset w:val="86"/>
    <w:family w:val="auto"/>
    <w:pitch w:val="default"/>
    <w:sig w:usb0="A00002BF" w:usb1="184F6CFA" w:usb2="00000012" w:usb3="00000000" w:csb0="00040001" w:csb1="00000000"/>
    <w:embedRegular r:id="rId6" w:fontKey="{F48C23DB-C0F3-4E4F-93E6-D9F8D844251E}"/>
  </w:font>
  <w:font w:name="仿宋">
    <w:panose1 w:val="02010609060101010101"/>
    <w:charset w:val="86"/>
    <w:family w:val="modern"/>
    <w:pitch w:val="default"/>
    <w:sig w:usb0="800002BF" w:usb1="38CF7CFA" w:usb2="00000016" w:usb3="00000000" w:csb0="00040001" w:csb1="00000000"/>
    <w:embedRegular r:id="rId7" w:fontKey="{A426E65F-DE41-4523-B519-D3DD4B4B5310}"/>
  </w:font>
  <w:font w:name="方正仿宋_GBK">
    <w:panose1 w:val="03000509000000000000"/>
    <w:charset w:val="86"/>
    <w:family w:val="auto"/>
    <w:pitch w:val="default"/>
    <w:sig w:usb0="00000001" w:usb1="080E0000" w:usb2="00000000" w:usb3="00000000" w:csb0="00040000" w:csb1="00000000"/>
    <w:embedRegular r:id="rId8" w:fontKey="{D69766D1-C2DE-4CA8-A59E-7A8AF3123D89}"/>
  </w:font>
  <w:font w:name="方正黑体_GBK">
    <w:panose1 w:val="03000509000000000000"/>
    <w:charset w:val="86"/>
    <w:family w:val="auto"/>
    <w:pitch w:val="default"/>
    <w:sig w:usb0="00000001" w:usb1="080E0000" w:usb2="00000000" w:usb3="00000000" w:csb0="00040000" w:csb1="00000000"/>
    <w:embedRegular r:id="rId9" w:fontKey="{77AAF390-687D-4D43-9DF9-80537E46D9EF}"/>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QxNTRmZmIyMmE2NTNhYWQ3ZGZjMDNmOGMyNWE1N2QifQ=="/>
    <w:docVar w:name="KSO_WPS_MARK_KEY" w:val="c95a4ac1-0939-410d-8cc3-b7e4ccab0801"/>
  </w:docVars>
  <w:rsids>
    <w:rsidRoot w:val="00172A27"/>
    <w:rsid w:val="00070C9E"/>
    <w:rsid w:val="000C19DC"/>
    <w:rsid w:val="00172A27"/>
    <w:rsid w:val="00566465"/>
    <w:rsid w:val="008D13BD"/>
    <w:rsid w:val="02145195"/>
    <w:rsid w:val="02570893"/>
    <w:rsid w:val="03A82039"/>
    <w:rsid w:val="03EC7C9F"/>
    <w:rsid w:val="04CE3D21"/>
    <w:rsid w:val="054A784B"/>
    <w:rsid w:val="06EB226D"/>
    <w:rsid w:val="07924E87"/>
    <w:rsid w:val="0D533015"/>
    <w:rsid w:val="0D7C07BE"/>
    <w:rsid w:val="0ED10695"/>
    <w:rsid w:val="10DD0AD6"/>
    <w:rsid w:val="150B2427"/>
    <w:rsid w:val="16573B76"/>
    <w:rsid w:val="16A925D1"/>
    <w:rsid w:val="16FC471D"/>
    <w:rsid w:val="176A686B"/>
    <w:rsid w:val="179E7583"/>
    <w:rsid w:val="17DF606D"/>
    <w:rsid w:val="188A384C"/>
    <w:rsid w:val="196D04F7"/>
    <w:rsid w:val="1AB278ED"/>
    <w:rsid w:val="1BF72E6E"/>
    <w:rsid w:val="1C2344FA"/>
    <w:rsid w:val="1C424981"/>
    <w:rsid w:val="1DAA1F72"/>
    <w:rsid w:val="1DAB6F5C"/>
    <w:rsid w:val="1E4852D2"/>
    <w:rsid w:val="1E831280"/>
    <w:rsid w:val="20744ABB"/>
    <w:rsid w:val="225D0766"/>
    <w:rsid w:val="23FA40B3"/>
    <w:rsid w:val="25E33BEE"/>
    <w:rsid w:val="25FC0296"/>
    <w:rsid w:val="26487357"/>
    <w:rsid w:val="2665408D"/>
    <w:rsid w:val="284B2E0F"/>
    <w:rsid w:val="28C8445F"/>
    <w:rsid w:val="29787C34"/>
    <w:rsid w:val="29FD282F"/>
    <w:rsid w:val="2A495A74"/>
    <w:rsid w:val="2ABB5BAF"/>
    <w:rsid w:val="2C6B33E1"/>
    <w:rsid w:val="2D193CDD"/>
    <w:rsid w:val="2DDC7B35"/>
    <w:rsid w:val="2F9C6646"/>
    <w:rsid w:val="316118F5"/>
    <w:rsid w:val="324D32EC"/>
    <w:rsid w:val="325925CC"/>
    <w:rsid w:val="326F1BEE"/>
    <w:rsid w:val="33354DE7"/>
    <w:rsid w:val="33FE342B"/>
    <w:rsid w:val="341B63B7"/>
    <w:rsid w:val="348B70ED"/>
    <w:rsid w:val="34B04D03"/>
    <w:rsid w:val="359C2EFC"/>
    <w:rsid w:val="3652180C"/>
    <w:rsid w:val="367B74AA"/>
    <w:rsid w:val="372A001A"/>
    <w:rsid w:val="396B4DB7"/>
    <w:rsid w:val="39A20CFD"/>
    <w:rsid w:val="3AA06FEA"/>
    <w:rsid w:val="3BB56394"/>
    <w:rsid w:val="3C485B8B"/>
    <w:rsid w:val="3DD60F75"/>
    <w:rsid w:val="3E432AAE"/>
    <w:rsid w:val="3EC11A53"/>
    <w:rsid w:val="3F03223E"/>
    <w:rsid w:val="3FC92B3F"/>
    <w:rsid w:val="3FCD4A36"/>
    <w:rsid w:val="41586871"/>
    <w:rsid w:val="41DD28D2"/>
    <w:rsid w:val="42462B6D"/>
    <w:rsid w:val="429E4757"/>
    <w:rsid w:val="4353695F"/>
    <w:rsid w:val="4375240B"/>
    <w:rsid w:val="43C26223"/>
    <w:rsid w:val="480212E4"/>
    <w:rsid w:val="48084421"/>
    <w:rsid w:val="49F8394E"/>
    <w:rsid w:val="4B683166"/>
    <w:rsid w:val="4BA32DDE"/>
    <w:rsid w:val="4C215AB1"/>
    <w:rsid w:val="4E541F83"/>
    <w:rsid w:val="4F5B577E"/>
    <w:rsid w:val="519C68E3"/>
    <w:rsid w:val="529E01D6"/>
    <w:rsid w:val="532E7431"/>
    <w:rsid w:val="53CC67DD"/>
    <w:rsid w:val="545A48AD"/>
    <w:rsid w:val="54CD1014"/>
    <w:rsid w:val="55B1434A"/>
    <w:rsid w:val="581806B0"/>
    <w:rsid w:val="58486EAD"/>
    <w:rsid w:val="58BC54DF"/>
    <w:rsid w:val="59806C77"/>
    <w:rsid w:val="5A2E721B"/>
    <w:rsid w:val="5AB53F94"/>
    <w:rsid w:val="5ACD1A01"/>
    <w:rsid w:val="5AFC6067"/>
    <w:rsid w:val="5BD7618C"/>
    <w:rsid w:val="5BFA0BAC"/>
    <w:rsid w:val="5D827E9A"/>
    <w:rsid w:val="5D83037A"/>
    <w:rsid w:val="5DD24075"/>
    <w:rsid w:val="608F6033"/>
    <w:rsid w:val="61D55922"/>
    <w:rsid w:val="62BC746E"/>
    <w:rsid w:val="65FC516D"/>
    <w:rsid w:val="662C0AAC"/>
    <w:rsid w:val="67AF792B"/>
    <w:rsid w:val="6A184540"/>
    <w:rsid w:val="6A7D43A3"/>
    <w:rsid w:val="6B0F3E49"/>
    <w:rsid w:val="6CFA617E"/>
    <w:rsid w:val="6D203E37"/>
    <w:rsid w:val="6D7B5C0C"/>
    <w:rsid w:val="71172807"/>
    <w:rsid w:val="728E1843"/>
    <w:rsid w:val="78234247"/>
    <w:rsid w:val="78C2522A"/>
    <w:rsid w:val="79ED6E4F"/>
    <w:rsid w:val="7AA02113"/>
    <w:rsid w:val="7AC03FB7"/>
    <w:rsid w:val="7BAF00FE"/>
    <w:rsid w:val="7BF546E1"/>
    <w:rsid w:val="7CC52470"/>
    <w:rsid w:val="7E0D5D12"/>
    <w:rsid w:val="7E6D1D4C"/>
    <w:rsid w:val="7EF60E67"/>
    <w:rsid w:val="7F8A51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footer"/>
    <w:basedOn w:val="1"/>
    <w:unhideWhenUsed/>
    <w:qFormat/>
    <w:uiPriority w:val="0"/>
    <w:pPr>
      <w:tabs>
        <w:tab w:val="center" w:pos="4153"/>
        <w:tab w:val="right" w:pos="8306"/>
      </w:tabs>
      <w:snapToGrid w:val="0"/>
      <w:jc w:val="left"/>
    </w:pPr>
    <w:rPr>
      <w:rFonts w:hint="eastAsia"/>
      <w:sz w:val="18"/>
    </w:rPr>
  </w:style>
  <w:style w:type="paragraph" w:styleId="4">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paragraph" w:customStyle="1" w:styleId="7">
    <w:name w:val="列出段落1"/>
    <w:basedOn w:val="1"/>
    <w:qFormat/>
    <w:uiPriority w:val="99"/>
    <w:pPr>
      <w:ind w:firstLine="420" w:firstLineChars="200"/>
    </w:pPr>
    <w:rPr>
      <w:szCs w:val="22"/>
    </w:rPr>
  </w:style>
  <w:style w:type="character" w:customStyle="1" w:styleId="8">
    <w:name w:val="页眉 字符"/>
    <w:basedOn w:val="6"/>
    <w:link w:val="4"/>
    <w:qFormat/>
    <w:uiPriority w:val="0"/>
    <w:rPr>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4769</Words>
  <Characters>4961</Characters>
  <Lines>38</Lines>
  <Paragraphs>10</Paragraphs>
  <TotalTime>0</TotalTime>
  <ScaleCrop>false</ScaleCrop>
  <LinksUpToDate>false</LinksUpToDate>
  <CharactersWithSpaces>5089</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2025-02-25T04:29:00Z</dcterms:created>
  <dc:creator>ld-scywbly</dc:creator>
  <cp:lastModifiedBy>ld-scywbly</cp:lastModifiedBy>
  <cp:lastPrinted>2025-06-06T07:10:00Z</cp:lastPrinted>
  <dcterms:modified xsi:type="dcterms:W3CDTF">2025-11-11T00:21:55Z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506A298C4C6B4A81AD64FFCA360C6489_13</vt:lpwstr>
  </property>
  <property fmtid="{D5CDD505-2E9C-101B-9397-08002B2CF9AE}" pid="4" name="KSOTemplateDocerSaveRecord">
    <vt:lpwstr>eyJoZGlkIjoiMzAxNjJhOWMyZjI1YmNmOGQwZDk5ZjA4MjdjMjJkM2MiLCJ1c2VySWQiOiIxNDc5NjE0MjkwIn0=</vt:lpwstr>
  </property>
</Properties>
</file>